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7DF6D" w14:textId="77777777" w:rsidR="001654D4" w:rsidRDefault="00000000"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 xml:space="preserve">  </w:t>
      </w:r>
    </w:p>
    <w:p w14:paraId="229323C1" w14:textId="77777777" w:rsidR="001654D4" w:rsidRDefault="001654D4"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 w14:paraId="01CF5DB6" w14:textId="77777777" w:rsidR="001654D4" w:rsidRDefault="001654D4"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 w14:paraId="0B4AC43F" w14:textId="77777777" w:rsidR="001654D4" w:rsidRDefault="001654D4"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 w14:paraId="4E57500C" w14:textId="77777777" w:rsidR="001654D4" w:rsidRDefault="001654D4"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 w14:paraId="06A6BECF" w14:textId="77777777" w:rsidR="001654D4" w:rsidRDefault="001654D4"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 w14:paraId="45F2C951" w14:textId="77777777" w:rsidR="001654D4" w:rsidRDefault="00000000"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ab/>
      </w:r>
      <w:r>
        <w:rPr>
          <w:rFonts w:eastAsia="黑体" w:hint="eastAsia"/>
          <w:w w:val="95"/>
          <w:sz w:val="44"/>
          <w:szCs w:val="44"/>
        </w:rPr>
        <w:tab/>
      </w:r>
    </w:p>
    <w:p w14:paraId="0E21F229" w14:textId="77777777" w:rsidR="001654D4" w:rsidRDefault="001654D4"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 w14:paraId="4753B82E" w14:textId="77777777" w:rsidR="001654D4" w:rsidRDefault="00000000">
      <w:pPr>
        <w:spacing w:line="240" w:lineRule="auto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天津市河北区市场监督管理局(本级)</w:t>
      </w:r>
    </w:p>
    <w:p w14:paraId="71CD99C5" w14:textId="77777777" w:rsidR="001654D4" w:rsidRDefault="00000000">
      <w:pPr>
        <w:spacing w:line="240" w:lineRule="auto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2024年部门预算</w:t>
      </w:r>
    </w:p>
    <w:p w14:paraId="77910B55" w14:textId="77777777" w:rsidR="001654D4" w:rsidRDefault="001654D4">
      <w:pPr>
        <w:spacing w:line="240" w:lineRule="auto"/>
        <w:jc w:val="center"/>
        <w:rPr>
          <w:rFonts w:ascii="方正小标宋简体" w:eastAsia="方正小标宋简体" w:hAnsi="方正小标宋简体" w:cs="方正小标宋简体"/>
          <w:w w:val="95"/>
          <w:sz w:val="48"/>
          <w:szCs w:val="48"/>
        </w:rPr>
      </w:pPr>
    </w:p>
    <w:p w14:paraId="126CA3F5" w14:textId="77777777" w:rsidR="001654D4" w:rsidRDefault="001654D4">
      <w:pPr>
        <w:spacing w:line="580" w:lineRule="exact"/>
        <w:jc w:val="center"/>
        <w:rPr>
          <w:rFonts w:ascii="楷体_GB2312" w:eastAsia="楷体_GB2312"/>
          <w:sz w:val="36"/>
          <w:szCs w:val="36"/>
        </w:rPr>
      </w:pPr>
    </w:p>
    <w:p w14:paraId="6CDAAD04" w14:textId="77777777" w:rsidR="001654D4" w:rsidRDefault="001654D4">
      <w:pPr>
        <w:spacing w:line="580" w:lineRule="exact"/>
        <w:jc w:val="center"/>
        <w:rPr>
          <w:rFonts w:ascii="黑体" w:eastAsia="黑体"/>
          <w:sz w:val="30"/>
          <w:szCs w:val="30"/>
        </w:rPr>
      </w:pPr>
    </w:p>
    <w:p w14:paraId="1C2C6971" w14:textId="77777777" w:rsidR="001654D4" w:rsidRDefault="001654D4">
      <w:pPr>
        <w:spacing w:line="580" w:lineRule="exact"/>
        <w:jc w:val="center"/>
        <w:rPr>
          <w:rFonts w:ascii="黑体" w:eastAsia="黑体"/>
          <w:sz w:val="30"/>
          <w:szCs w:val="30"/>
        </w:rPr>
      </w:pPr>
    </w:p>
    <w:p w14:paraId="6ED5D89C" w14:textId="77777777" w:rsidR="001654D4" w:rsidRDefault="001654D4">
      <w:pPr>
        <w:spacing w:line="580" w:lineRule="exact"/>
        <w:jc w:val="center"/>
        <w:rPr>
          <w:rFonts w:ascii="黑体" w:eastAsia="黑体"/>
          <w:sz w:val="30"/>
          <w:szCs w:val="30"/>
        </w:rPr>
      </w:pPr>
    </w:p>
    <w:p w14:paraId="1CE3BA3B" w14:textId="77777777" w:rsidR="001654D4" w:rsidRDefault="001654D4">
      <w:pPr>
        <w:spacing w:line="580" w:lineRule="exact"/>
        <w:jc w:val="center"/>
        <w:rPr>
          <w:rFonts w:ascii="黑体" w:eastAsia="黑体"/>
          <w:sz w:val="30"/>
          <w:szCs w:val="30"/>
        </w:rPr>
      </w:pPr>
    </w:p>
    <w:p w14:paraId="676C3017" w14:textId="77777777" w:rsidR="001654D4" w:rsidRDefault="001654D4">
      <w:pPr>
        <w:spacing w:line="580" w:lineRule="exact"/>
        <w:jc w:val="center"/>
        <w:rPr>
          <w:rFonts w:ascii="黑体" w:eastAsia="黑体"/>
          <w:sz w:val="30"/>
          <w:szCs w:val="30"/>
        </w:rPr>
      </w:pPr>
    </w:p>
    <w:p w14:paraId="3C7DC736" w14:textId="77777777" w:rsidR="001654D4" w:rsidRDefault="001654D4">
      <w:pPr>
        <w:spacing w:line="580" w:lineRule="exact"/>
        <w:jc w:val="center"/>
        <w:rPr>
          <w:rFonts w:ascii="黑体" w:eastAsia="黑体"/>
          <w:sz w:val="30"/>
          <w:szCs w:val="30"/>
        </w:rPr>
      </w:pPr>
    </w:p>
    <w:p w14:paraId="405028D3" w14:textId="77777777" w:rsidR="001654D4" w:rsidRDefault="001654D4">
      <w:pPr>
        <w:spacing w:line="580" w:lineRule="exact"/>
        <w:jc w:val="center"/>
        <w:rPr>
          <w:rFonts w:ascii="黑体" w:eastAsia="黑体"/>
          <w:sz w:val="30"/>
          <w:szCs w:val="30"/>
        </w:rPr>
      </w:pPr>
    </w:p>
    <w:p w14:paraId="5E3B080F" w14:textId="77777777" w:rsidR="001654D4" w:rsidRDefault="001654D4">
      <w:pPr>
        <w:spacing w:line="580" w:lineRule="exact"/>
        <w:jc w:val="center"/>
        <w:rPr>
          <w:rFonts w:ascii="黑体" w:eastAsia="黑体"/>
          <w:sz w:val="30"/>
          <w:szCs w:val="30"/>
        </w:rPr>
      </w:pPr>
    </w:p>
    <w:p w14:paraId="19B10663" w14:textId="77777777" w:rsidR="001654D4" w:rsidRDefault="001654D4">
      <w:pPr>
        <w:spacing w:line="580" w:lineRule="exact"/>
        <w:jc w:val="center"/>
        <w:rPr>
          <w:rFonts w:ascii="黑体" w:eastAsia="黑体"/>
          <w:sz w:val="30"/>
          <w:szCs w:val="30"/>
        </w:rPr>
      </w:pPr>
    </w:p>
    <w:p w14:paraId="374EBCC3" w14:textId="77777777" w:rsidR="001654D4" w:rsidRDefault="001654D4">
      <w:pPr>
        <w:spacing w:line="580" w:lineRule="exact"/>
        <w:jc w:val="center"/>
        <w:rPr>
          <w:rFonts w:ascii="黑体" w:eastAsia="黑体"/>
          <w:sz w:val="44"/>
          <w:szCs w:val="44"/>
        </w:rPr>
      </w:pPr>
    </w:p>
    <w:p w14:paraId="62AC528A" w14:textId="77777777" w:rsidR="001654D4" w:rsidRDefault="00000000">
      <w:pPr>
        <w:spacing w:line="600" w:lineRule="exact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lastRenderedPageBreak/>
        <w:t>目   录</w:t>
      </w:r>
    </w:p>
    <w:p w14:paraId="07E75FD6" w14:textId="77777777" w:rsidR="001654D4" w:rsidRDefault="001654D4">
      <w:pPr>
        <w:spacing w:line="600" w:lineRule="exact"/>
        <w:rPr>
          <w:rFonts w:ascii="黑体" w:eastAsia="黑体"/>
          <w:sz w:val="30"/>
          <w:szCs w:val="30"/>
        </w:rPr>
      </w:pPr>
    </w:p>
    <w:p w14:paraId="52545734" w14:textId="77777777" w:rsidR="001654D4" w:rsidRDefault="00000000">
      <w:pPr>
        <w:spacing w:line="600" w:lineRule="exac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第一部分  概 </w:t>
      </w:r>
      <w:proofErr w:type="gramStart"/>
      <w:r>
        <w:rPr>
          <w:rFonts w:ascii="仿宋_GB2312" w:eastAsia="仿宋_GB2312" w:hint="eastAsia"/>
          <w:b/>
          <w:sz w:val="30"/>
          <w:szCs w:val="30"/>
        </w:rPr>
        <w:t>况</w:t>
      </w:r>
      <w:proofErr w:type="gramEnd"/>
    </w:p>
    <w:p w14:paraId="08A24427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一、主要职责</w:t>
      </w:r>
    </w:p>
    <w:p w14:paraId="541D52F9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二、机构设置情况</w:t>
      </w:r>
    </w:p>
    <w:p w14:paraId="04050D40" w14:textId="77777777" w:rsidR="001654D4" w:rsidRDefault="00000000">
      <w:pPr>
        <w:spacing w:line="600" w:lineRule="exac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第二部分  2024年部门预算情况说明</w:t>
      </w:r>
    </w:p>
    <w:p w14:paraId="50DA0E37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一、关于收支总体情况表的说明</w:t>
      </w:r>
    </w:p>
    <w:p w14:paraId="58603623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二、关于收入总体情况表的说明</w:t>
      </w:r>
    </w:p>
    <w:p w14:paraId="7E09B49A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三、关于支出总体情况表的说明</w:t>
      </w:r>
    </w:p>
    <w:p w14:paraId="55627A9F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四、关于财政拨款收支总体情况表的说明</w:t>
      </w:r>
    </w:p>
    <w:p w14:paraId="3E06F736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五、关于一般公共预算支出情况的说明</w:t>
      </w:r>
    </w:p>
    <w:p w14:paraId="2C46971A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六、关于一般公共预算基本支出情况表的说明</w:t>
      </w:r>
    </w:p>
    <w:p w14:paraId="2B1F9B09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七、关于一般公共预算“三公”经费支出情况表的说明</w:t>
      </w:r>
    </w:p>
    <w:p w14:paraId="768B72E5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八、关于政府性基金预算支出情况表的说明</w:t>
      </w:r>
    </w:p>
    <w:p w14:paraId="5EC3B818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九、关于国有资本经营预算支出情况表的说明</w:t>
      </w:r>
    </w:p>
    <w:p w14:paraId="157A6922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十、其他重要事项的情况说明</w:t>
      </w:r>
    </w:p>
    <w:p w14:paraId="141FECDC" w14:textId="77777777" w:rsidR="001654D4" w:rsidRDefault="00000000">
      <w:pPr>
        <w:spacing w:line="600" w:lineRule="exac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第三部分  名词解释</w:t>
      </w:r>
    </w:p>
    <w:p w14:paraId="27CE6D8B" w14:textId="77777777" w:rsidR="001654D4" w:rsidRDefault="00000000">
      <w:pPr>
        <w:spacing w:line="600" w:lineRule="exac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第四部分  2024年部门预算表</w:t>
      </w:r>
    </w:p>
    <w:p w14:paraId="354D3B1F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一、部门收支总体情况表</w:t>
      </w:r>
    </w:p>
    <w:p w14:paraId="6EE1F4FE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二、部门收入总体情况表</w:t>
      </w:r>
    </w:p>
    <w:p w14:paraId="6D80A137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三、部门支出总体情况表</w:t>
      </w:r>
    </w:p>
    <w:p w14:paraId="7AB5BF60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四、财政拨款收支总体情况表</w:t>
      </w:r>
    </w:p>
    <w:p w14:paraId="297BC495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五、一般公共预算支出情况表</w:t>
      </w:r>
    </w:p>
    <w:p w14:paraId="0C31419A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六、一般公共预算基本支出情况表</w:t>
      </w:r>
    </w:p>
    <w:p w14:paraId="58AE70A2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七、一般公共预算“三公”经费支出情况表</w:t>
      </w:r>
    </w:p>
    <w:p w14:paraId="3723DFD4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八、政府性基金预算支出情况表</w:t>
      </w:r>
    </w:p>
    <w:p w14:paraId="764E8DD9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九、国有资本经营预算支出情况表</w:t>
      </w:r>
    </w:p>
    <w:p w14:paraId="3EA4A2C3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十、项目支出表</w:t>
      </w:r>
    </w:p>
    <w:p w14:paraId="4D04E017" w14:textId="77777777" w:rsidR="001654D4" w:rsidRDefault="00000000"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十一、关于空表的说明</w:t>
      </w:r>
      <w:r>
        <w:rPr>
          <w:rFonts w:ascii="仿宋_GB2312" w:eastAsia="仿宋_GB2312" w:hint="eastAsia"/>
          <w:sz w:val="30"/>
          <w:szCs w:val="30"/>
        </w:rPr>
        <w:tab/>
      </w:r>
    </w:p>
    <w:p w14:paraId="4F15B69C" w14:textId="77777777" w:rsidR="001654D4" w:rsidRDefault="00000000">
      <w:pPr>
        <w:spacing w:line="600" w:lineRule="exac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/>
          <w:b/>
          <w:sz w:val="30"/>
          <w:szCs w:val="30"/>
        </w:rPr>
        <w:fldChar w:fldCharType="begin"/>
      </w:r>
      <w:r>
        <w:rPr>
          <w:rFonts w:ascii="仿宋_GB2312" w:eastAsia="仿宋_GB2312"/>
          <w:b/>
          <w:sz w:val="30"/>
          <w:szCs w:val="30"/>
        </w:rPr>
        <w:instrText xml:space="preserve"> </w:instrText>
      </w:r>
      <w:r>
        <w:rPr>
          <w:rFonts w:ascii="仿宋_GB2312" w:eastAsia="仿宋_GB2312" w:hint="eastAsia"/>
          <w:b/>
          <w:sz w:val="30"/>
          <w:szCs w:val="30"/>
        </w:rPr>
        <w:instrText>TOC \o "1-3" \h \z \u</w:instrText>
      </w:r>
      <w:r>
        <w:rPr>
          <w:rFonts w:ascii="仿宋_GB2312" w:eastAsia="仿宋_GB2312"/>
          <w:b/>
          <w:sz w:val="30"/>
          <w:szCs w:val="30"/>
        </w:rPr>
        <w:instrText xml:space="preserve"> </w:instrText>
      </w:r>
      <w:r>
        <w:rPr>
          <w:rFonts w:ascii="仿宋_GB2312" w:eastAsia="仿宋_GB2312"/>
          <w:b/>
          <w:sz w:val="30"/>
          <w:szCs w:val="30"/>
        </w:rPr>
        <w:fldChar w:fldCharType="separate"/>
      </w:r>
    </w:p>
    <w:p w14:paraId="0F0B59DD" w14:textId="77777777" w:rsidR="001654D4" w:rsidRDefault="00000000">
      <w:pPr>
        <w:spacing w:line="600" w:lineRule="exact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fldChar w:fldCharType="end"/>
      </w:r>
    </w:p>
    <w:p w14:paraId="418328EF" w14:textId="77777777" w:rsidR="001654D4" w:rsidRDefault="001654D4">
      <w:pPr>
        <w:spacing w:line="600" w:lineRule="exact"/>
        <w:jc w:val="both"/>
        <w:rPr>
          <w:rFonts w:ascii="仿宋_GB2312" w:eastAsia="仿宋_GB2312"/>
          <w:sz w:val="30"/>
          <w:szCs w:val="30"/>
        </w:rPr>
      </w:pPr>
    </w:p>
    <w:p w14:paraId="5FC634C2" w14:textId="77777777" w:rsidR="001654D4" w:rsidRDefault="001654D4">
      <w:pPr>
        <w:spacing w:line="600" w:lineRule="exact"/>
        <w:jc w:val="both"/>
        <w:rPr>
          <w:rFonts w:ascii="仿宋_GB2312" w:eastAsia="仿宋_GB2312"/>
          <w:sz w:val="30"/>
          <w:szCs w:val="30"/>
        </w:rPr>
      </w:pPr>
    </w:p>
    <w:p w14:paraId="51E2F1CF" w14:textId="77777777" w:rsidR="001654D4" w:rsidRDefault="001654D4">
      <w:pPr>
        <w:spacing w:line="600" w:lineRule="exact"/>
        <w:jc w:val="both"/>
        <w:rPr>
          <w:rFonts w:ascii="仿宋_GB2312" w:eastAsia="仿宋_GB2312"/>
          <w:sz w:val="30"/>
          <w:szCs w:val="30"/>
        </w:rPr>
      </w:pPr>
    </w:p>
    <w:p w14:paraId="0A636B4B" w14:textId="77777777" w:rsidR="001654D4" w:rsidRDefault="001654D4">
      <w:pPr>
        <w:spacing w:line="600" w:lineRule="exact"/>
        <w:jc w:val="both"/>
        <w:rPr>
          <w:rFonts w:ascii="仿宋_GB2312" w:eastAsia="仿宋_GB2312"/>
          <w:sz w:val="30"/>
          <w:szCs w:val="30"/>
        </w:rPr>
      </w:pPr>
    </w:p>
    <w:p w14:paraId="2317CE9A" w14:textId="77777777" w:rsidR="001654D4" w:rsidRDefault="001654D4">
      <w:pPr>
        <w:spacing w:line="600" w:lineRule="exact"/>
        <w:jc w:val="both"/>
        <w:rPr>
          <w:rFonts w:ascii="仿宋_GB2312" w:eastAsia="仿宋_GB2312"/>
          <w:sz w:val="30"/>
          <w:szCs w:val="30"/>
        </w:rPr>
      </w:pPr>
    </w:p>
    <w:p w14:paraId="635D9FD1" w14:textId="77777777" w:rsidR="001654D4" w:rsidRDefault="001654D4">
      <w:pPr>
        <w:spacing w:line="600" w:lineRule="exact"/>
        <w:jc w:val="both"/>
        <w:rPr>
          <w:rFonts w:ascii="仿宋_GB2312" w:eastAsia="仿宋_GB2312"/>
          <w:sz w:val="30"/>
          <w:szCs w:val="30"/>
        </w:rPr>
      </w:pPr>
    </w:p>
    <w:p w14:paraId="19C905C5" w14:textId="77777777" w:rsidR="001654D4" w:rsidRDefault="001654D4">
      <w:pPr>
        <w:spacing w:line="600" w:lineRule="exact"/>
        <w:jc w:val="both"/>
        <w:rPr>
          <w:rFonts w:ascii="仿宋_GB2312" w:eastAsia="仿宋_GB2312"/>
          <w:sz w:val="30"/>
          <w:szCs w:val="30"/>
        </w:rPr>
      </w:pPr>
    </w:p>
    <w:p w14:paraId="4FEF1F2C" w14:textId="77777777" w:rsidR="001654D4" w:rsidRDefault="001654D4">
      <w:pPr>
        <w:spacing w:line="600" w:lineRule="exact"/>
        <w:jc w:val="both"/>
        <w:rPr>
          <w:rFonts w:ascii="仿宋_GB2312" w:eastAsia="仿宋_GB2312"/>
          <w:sz w:val="30"/>
          <w:szCs w:val="30"/>
        </w:rPr>
      </w:pPr>
    </w:p>
    <w:p w14:paraId="238BB533" w14:textId="77777777" w:rsidR="001654D4" w:rsidRDefault="001654D4">
      <w:pPr>
        <w:spacing w:line="600" w:lineRule="exact"/>
        <w:jc w:val="both"/>
        <w:rPr>
          <w:rFonts w:ascii="仿宋_GB2312" w:eastAsia="仿宋_GB2312"/>
          <w:sz w:val="30"/>
          <w:szCs w:val="30"/>
        </w:rPr>
      </w:pPr>
    </w:p>
    <w:p w14:paraId="41B333AE" w14:textId="77777777" w:rsidR="001654D4" w:rsidRDefault="001654D4">
      <w:pPr>
        <w:spacing w:line="600" w:lineRule="exact"/>
        <w:jc w:val="both"/>
        <w:rPr>
          <w:rFonts w:eastAsia="黑体"/>
          <w:w w:val="95"/>
          <w:sz w:val="44"/>
          <w:szCs w:val="44"/>
        </w:rPr>
      </w:pPr>
    </w:p>
    <w:p w14:paraId="12D25F00" w14:textId="77777777" w:rsidR="001654D4" w:rsidRDefault="001654D4">
      <w:pPr>
        <w:pStyle w:val="TOC2"/>
        <w:tabs>
          <w:tab w:val="right" w:leader="dot" w:pos="8296"/>
        </w:tabs>
        <w:spacing w:line="600" w:lineRule="exact"/>
        <w:ind w:left="0"/>
        <w:rPr>
          <w:rFonts w:ascii="黑体" w:eastAsia="黑体"/>
          <w:sz w:val="30"/>
          <w:szCs w:val="30"/>
        </w:rPr>
        <w:sectPr w:rsidR="001654D4" w:rsidSect="000A5629">
          <w:headerReference w:type="default" r:id="rId6"/>
          <w:footerReference w:type="even" r:id="rId7"/>
          <w:footerReference w:type="default" r:id="rId8"/>
          <w:pgSz w:w="11907" w:h="16840"/>
          <w:pgMar w:top="2098" w:right="1474" w:bottom="1304" w:left="1588" w:header="765" w:footer="765" w:gutter="0"/>
          <w:pgNumType w:fmt="numberInDash" w:start="1"/>
          <w:cols w:space="720"/>
          <w:docGrid w:linePitch="326"/>
        </w:sectPr>
      </w:pPr>
    </w:p>
    <w:p w14:paraId="2B932CBD" w14:textId="77777777" w:rsidR="001654D4" w:rsidRDefault="00000000">
      <w:pPr>
        <w:pStyle w:val="1"/>
        <w:spacing w:line="600" w:lineRule="exact"/>
        <w:jc w:val="center"/>
        <w:rPr>
          <w:rFonts w:ascii="黑体" w:eastAsia="黑体" w:hAnsi="黑体" w:cs="黑体"/>
          <w:b w:val="0"/>
        </w:rPr>
      </w:pPr>
      <w:bookmarkStart w:id="0" w:name="_Toc78784554"/>
      <w:r>
        <w:rPr>
          <w:rFonts w:ascii="黑体" w:eastAsia="黑体" w:hAnsi="黑体" w:cs="黑体" w:hint="eastAsia"/>
          <w:b w:val="0"/>
        </w:rPr>
        <w:lastRenderedPageBreak/>
        <w:t xml:space="preserve">第一部分  概 </w:t>
      </w:r>
      <w:proofErr w:type="gramStart"/>
      <w:r>
        <w:rPr>
          <w:rFonts w:ascii="黑体" w:eastAsia="黑体" w:hAnsi="黑体" w:cs="黑体" w:hint="eastAsia"/>
          <w:b w:val="0"/>
        </w:rPr>
        <w:t>况</w:t>
      </w:r>
      <w:bookmarkEnd w:id="0"/>
      <w:proofErr w:type="gramEnd"/>
    </w:p>
    <w:p w14:paraId="482808CE" w14:textId="77777777" w:rsidR="001654D4" w:rsidRDefault="001654D4">
      <w:pPr>
        <w:spacing w:line="600" w:lineRule="exact"/>
      </w:pPr>
    </w:p>
    <w:p w14:paraId="42E69EE0" w14:textId="77777777" w:rsidR="001654D4" w:rsidRDefault="00000000">
      <w:pPr>
        <w:pStyle w:val="2"/>
        <w:spacing w:line="600" w:lineRule="exact"/>
        <w:ind w:firstLineChars="200" w:firstLine="602"/>
        <w:rPr>
          <w:rFonts w:ascii="黑体" w:eastAsia="黑体" w:hAnsi="黑体"/>
          <w:sz w:val="30"/>
          <w:szCs w:val="30"/>
        </w:rPr>
      </w:pPr>
      <w:bookmarkStart w:id="1" w:name="_Toc78784555"/>
      <w:r>
        <w:rPr>
          <w:rFonts w:ascii="黑体" w:eastAsia="黑体" w:hAnsi="黑体" w:hint="eastAsia"/>
          <w:sz w:val="30"/>
          <w:szCs w:val="30"/>
        </w:rPr>
        <w:t>一、主要职责</w:t>
      </w:r>
      <w:bookmarkEnd w:id="1"/>
    </w:p>
    <w:p w14:paraId="2469E1A0" w14:textId="77777777" w:rsidR="001654D4" w:rsidRDefault="00000000">
      <w:pPr>
        <w:autoSpaceDE w:val="0"/>
        <w:autoSpaceDN w:val="0"/>
        <w:spacing w:line="580" w:lineRule="exact"/>
        <w:ind w:firstLineChars="200" w:firstLine="600"/>
        <w:textAlignment w:val="auto"/>
        <w:rPr>
          <w:rFonts w:ascii="仿宋_GB2312" w:eastAsia="仿宋_GB2312"/>
          <w:sz w:val="30"/>
          <w:szCs w:val="30"/>
        </w:rPr>
      </w:pPr>
      <w:bookmarkStart w:id="2" w:name="_Toc78784556"/>
      <w:r>
        <w:rPr>
          <w:rFonts w:ascii="仿宋_GB2312" w:eastAsia="仿宋_GB2312" w:hint="eastAsia"/>
          <w:sz w:val="30"/>
          <w:szCs w:val="30"/>
        </w:rPr>
        <w:t>（一）负责市场综合监督管理。（二）依法组织区域内市场主体统一登记注册。（三）负责组织实施和指导区市场监管综合执法工作。（四）负责区反垄断执法。（五）负责监督管理市场秩序。（六）负责产品质量安全监督管理。（七）负责特种设备安全监督管理。（八）负责食品安全监督管理综合协调。（九）负责食品安全监督管理。（十）负责统一管理计量工作。（十一）负责统一管理标准化工作。（十二）负责区检验检测机构的监督管理工作。（十三）负责组织落实市场监督管理的科技发展和信息化建设规划。（十四）负责药品、医疗器械和化妆品安全监督管理。（十五）负责保护知识产权。（十六）负责本领域安全生产监督管理工作。（十七）配合有关部门推动招商引资工作。（十八）负责市场监管体系人才队伍建设工作。（十九）完成区委、区政府交办的其他任务。（二十）职能转变。1.大力推进质量提升。2.深入推进简政放权。3.严</w:t>
      </w:r>
      <w:proofErr w:type="gramStart"/>
      <w:r>
        <w:rPr>
          <w:rFonts w:ascii="仿宋_GB2312" w:eastAsia="仿宋_GB2312" w:hint="eastAsia"/>
          <w:sz w:val="30"/>
          <w:szCs w:val="30"/>
        </w:rPr>
        <w:t>守安全</w:t>
      </w:r>
      <w:proofErr w:type="gramEnd"/>
      <w:r>
        <w:rPr>
          <w:rFonts w:ascii="仿宋_GB2312" w:eastAsia="仿宋_GB2312" w:hint="eastAsia"/>
          <w:sz w:val="30"/>
          <w:szCs w:val="30"/>
        </w:rPr>
        <w:t>底线。4.加强事中事后监管。5.提高服务水平。（二十一）有关职责分工。1.与公安河北分局的有关职责分工。2.与区卫生健康委在食品、药品安全监测方面的职责分工。</w:t>
      </w:r>
    </w:p>
    <w:p w14:paraId="0D018055" w14:textId="77777777" w:rsidR="001654D4" w:rsidRDefault="00000000">
      <w:pPr>
        <w:pStyle w:val="2"/>
        <w:spacing w:line="600" w:lineRule="exact"/>
        <w:ind w:firstLineChars="200" w:firstLine="602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二、机构设置</w:t>
      </w:r>
      <w:bookmarkEnd w:id="2"/>
      <w:r>
        <w:rPr>
          <w:rFonts w:ascii="黑体" w:eastAsia="黑体" w:hAnsi="黑体" w:hint="eastAsia"/>
          <w:sz w:val="30"/>
          <w:szCs w:val="30"/>
        </w:rPr>
        <w:t>情况</w:t>
      </w:r>
    </w:p>
    <w:p w14:paraId="0DA5021E" w14:textId="77777777" w:rsidR="001654D4" w:rsidRDefault="00000000">
      <w:pPr>
        <w:autoSpaceDE w:val="0"/>
        <w:autoSpaceDN w:val="0"/>
        <w:spacing w:line="580" w:lineRule="exact"/>
        <w:ind w:firstLineChars="200" w:firstLine="600"/>
        <w:textAlignment w:val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天津市河北区市场监督管理局(本级)内设21个职能处室；下辖1个预算单位。</w:t>
      </w:r>
    </w:p>
    <w:p w14:paraId="0E4EE615" w14:textId="77777777" w:rsidR="001654D4" w:rsidRDefault="00000000">
      <w:pPr>
        <w:autoSpaceDE w:val="0"/>
        <w:autoSpaceDN w:val="0"/>
        <w:spacing w:line="580" w:lineRule="exact"/>
        <w:ind w:firstLineChars="200" w:firstLine="600"/>
        <w:textAlignment w:val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纳入天津市河北区市场监督管理局(本级)2024年部门预算编制范围的预算单位包括：</w:t>
      </w:r>
    </w:p>
    <w:p w14:paraId="03DD7B6A" w14:textId="77777777" w:rsidR="001654D4" w:rsidRDefault="00000000">
      <w:pPr>
        <w:spacing w:line="600" w:lineRule="exact"/>
        <w:ind w:firstLine="600"/>
        <w:jc w:val="both"/>
        <w:rPr>
          <w:rFonts w:ascii="仿宋_GB2312" w:eastAsia="仿宋_GB2312"/>
          <w:sz w:val="30"/>
          <w:szCs w:val="30"/>
        </w:rPr>
        <w:sectPr w:rsidR="001654D4" w:rsidSect="000A5629">
          <w:footerReference w:type="default" r:id="rId9"/>
          <w:pgSz w:w="11907" w:h="16840"/>
          <w:pgMar w:top="2098" w:right="1474" w:bottom="1304" w:left="1588" w:header="765" w:footer="765" w:gutter="0"/>
          <w:pgNumType w:fmt="numberInDash" w:start="1"/>
          <w:cols w:space="720"/>
          <w:docGrid w:linePitch="326"/>
        </w:sectPr>
      </w:pPr>
      <w:r>
        <w:rPr>
          <w:rFonts w:ascii="仿宋_GB2312" w:eastAsia="仿宋_GB2312" w:hint="eastAsia"/>
          <w:sz w:val="30"/>
          <w:szCs w:val="30"/>
        </w:rPr>
        <w:t>1.天津市河北区市场监督管理局(本级)</w:t>
      </w:r>
    </w:p>
    <w:p w14:paraId="62D4456E" w14:textId="77777777" w:rsidR="001654D4" w:rsidRDefault="00000000">
      <w:pPr>
        <w:pStyle w:val="1"/>
        <w:spacing w:line="600" w:lineRule="exact"/>
        <w:jc w:val="center"/>
        <w:rPr>
          <w:rFonts w:ascii="黑体" w:eastAsia="黑体"/>
          <w:sz w:val="30"/>
          <w:szCs w:val="30"/>
        </w:rPr>
      </w:pPr>
      <w:bookmarkStart w:id="3" w:name="_Toc78784570"/>
      <w:r>
        <w:rPr>
          <w:rFonts w:ascii="黑体" w:eastAsia="黑体" w:hAnsi="黑体" w:cs="黑体" w:hint="eastAsia"/>
        </w:rPr>
        <w:lastRenderedPageBreak/>
        <w:t>第二部分  2024年部门预算情况说明</w:t>
      </w:r>
      <w:bookmarkEnd w:id="3"/>
    </w:p>
    <w:p w14:paraId="04788872" w14:textId="77777777" w:rsidR="001654D4" w:rsidRDefault="00000000">
      <w:pPr>
        <w:pStyle w:val="2"/>
        <w:spacing w:line="600" w:lineRule="exact"/>
        <w:ind w:firstLineChars="200" w:firstLine="600"/>
        <w:rPr>
          <w:rFonts w:ascii="黑体" w:eastAsia="黑体" w:hAnsi="黑体"/>
          <w:b w:val="0"/>
          <w:sz w:val="30"/>
          <w:szCs w:val="30"/>
        </w:rPr>
      </w:pPr>
      <w:bookmarkStart w:id="4" w:name="_Toc78784571"/>
      <w:r>
        <w:rPr>
          <w:rFonts w:ascii="黑体" w:eastAsia="黑体" w:hAnsi="黑体" w:hint="eastAsia"/>
          <w:b w:val="0"/>
          <w:sz w:val="30"/>
          <w:szCs w:val="30"/>
        </w:rPr>
        <w:t>一、关于收支总体情况</w:t>
      </w:r>
      <w:bookmarkEnd w:id="4"/>
      <w:r>
        <w:rPr>
          <w:rFonts w:ascii="黑体" w:eastAsia="黑体" w:hAnsi="黑体" w:hint="eastAsia"/>
          <w:b w:val="0"/>
          <w:sz w:val="30"/>
          <w:szCs w:val="30"/>
        </w:rPr>
        <w:t>表的说明</w:t>
      </w:r>
    </w:p>
    <w:p w14:paraId="1F173E14" w14:textId="77777777" w:rsidR="001654D4" w:rsidRDefault="0000000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按照综合预算的原则，天津市河北区市场监督管理局(本级)所有收入和支出均纳入部门预算管理。收入包括：一般公共预算拨款收入68,844,417.00元、政府性基金预算拨款收入0.00元、国有资本经营预算拨款收入0.00元、财政专户管理资金收入0.00元、事业收入0.00元、事业单位经营收入0.00元、上级补助收入0.00元、附属单位上缴收入0.00元、其他收入0.00元、上年结转结余0.00元；支出包括：一般公共服务支出57,733,873.00元、社会保障和就业支出7,746,203.00元、卫生健康支出3,364,341.00元。天津市河北区市场监督管理局(本级)2024年收支总预算68,844,417.00元。</w:t>
      </w:r>
    </w:p>
    <w:p w14:paraId="59B555BD" w14:textId="77777777" w:rsidR="001654D4" w:rsidRDefault="00000000">
      <w:pPr>
        <w:pStyle w:val="2"/>
        <w:spacing w:line="600" w:lineRule="exact"/>
        <w:ind w:firstLineChars="200" w:firstLine="600"/>
        <w:rPr>
          <w:rFonts w:ascii="黑体" w:eastAsia="黑体" w:hAnsi="黑体" w:cs="仿宋_GB2312"/>
          <w:b w:val="0"/>
          <w:sz w:val="30"/>
          <w:szCs w:val="30"/>
        </w:rPr>
      </w:pPr>
      <w:bookmarkStart w:id="5" w:name="_Toc78784572"/>
      <w:r>
        <w:rPr>
          <w:rFonts w:ascii="黑体" w:eastAsia="黑体" w:hAnsi="黑体" w:cs="仿宋_GB2312" w:hint="eastAsia"/>
          <w:b w:val="0"/>
          <w:sz w:val="30"/>
          <w:szCs w:val="30"/>
        </w:rPr>
        <w:t>二、关于收入总体情况</w:t>
      </w:r>
      <w:bookmarkEnd w:id="5"/>
      <w:r>
        <w:rPr>
          <w:rFonts w:ascii="黑体" w:eastAsia="黑体" w:hAnsi="黑体" w:cs="仿宋_GB2312" w:hint="eastAsia"/>
          <w:b w:val="0"/>
          <w:sz w:val="30"/>
          <w:szCs w:val="30"/>
        </w:rPr>
        <w:t>表的说明</w:t>
      </w:r>
    </w:p>
    <w:p w14:paraId="1CA710A6" w14:textId="77777777" w:rsidR="001654D4" w:rsidRDefault="0000000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天津市河北区市场监督管理局(本级)2024年部门预算收入68,844,417.00元，与2023年预算相比减少3,102,425.00元，主要原因是厉行节约，减少开支。其中：上年结转结余0.00元，占0.00%；一般公共预算68,844,417.00元，占100.00%；政府性基金预算0.00元，占0.00%；国有资本经营预算0.00元，占0.00%；财政专户管理资金0.00元，占0.00%；事业收入0.00元，占0.00%；事业单位</w:t>
      </w:r>
      <w:r>
        <w:rPr>
          <w:rFonts w:ascii="仿宋_GB2312" w:eastAsia="仿宋_GB2312" w:hint="eastAsia"/>
          <w:sz w:val="30"/>
          <w:szCs w:val="30"/>
        </w:rPr>
        <w:lastRenderedPageBreak/>
        <w:t>经营收入0.00元，占0.00%；上级补助收入0.00元，占0.00%；附属单位上缴收入0.00元，占0.00%；其他收入0.00元，占0.00%。</w:t>
      </w:r>
    </w:p>
    <w:p w14:paraId="503673BD" w14:textId="77777777" w:rsidR="001654D4" w:rsidRDefault="00000000">
      <w:pPr>
        <w:pStyle w:val="2"/>
        <w:spacing w:line="600" w:lineRule="exact"/>
        <w:ind w:firstLineChars="200" w:firstLine="600"/>
        <w:rPr>
          <w:rFonts w:ascii="黑体" w:eastAsia="黑体" w:hAnsi="黑体" w:cs="仿宋_GB2312"/>
          <w:b w:val="0"/>
          <w:sz w:val="30"/>
          <w:szCs w:val="30"/>
        </w:rPr>
      </w:pPr>
      <w:bookmarkStart w:id="6" w:name="_Toc78784573"/>
      <w:r>
        <w:rPr>
          <w:rFonts w:ascii="黑体" w:eastAsia="黑体" w:hAnsi="黑体" w:cs="仿宋_GB2312" w:hint="eastAsia"/>
          <w:b w:val="0"/>
          <w:sz w:val="30"/>
          <w:szCs w:val="30"/>
        </w:rPr>
        <w:t>三、关于</w:t>
      </w:r>
      <w:r>
        <w:rPr>
          <w:rFonts w:ascii="黑体" w:eastAsia="黑体" w:hAnsi="黑体" w:cs="仿宋_GB2312"/>
          <w:b w:val="0"/>
          <w:sz w:val="30"/>
          <w:szCs w:val="30"/>
        </w:rPr>
        <w:t>支出</w:t>
      </w:r>
      <w:r>
        <w:rPr>
          <w:rFonts w:ascii="黑体" w:eastAsia="黑体" w:hAnsi="黑体" w:cs="仿宋_GB2312" w:hint="eastAsia"/>
          <w:b w:val="0"/>
          <w:sz w:val="30"/>
          <w:szCs w:val="30"/>
        </w:rPr>
        <w:t>总体情况表</w:t>
      </w:r>
      <w:bookmarkEnd w:id="6"/>
      <w:r>
        <w:rPr>
          <w:rFonts w:ascii="黑体" w:eastAsia="黑体" w:hAnsi="黑体" w:cs="仿宋_GB2312" w:hint="eastAsia"/>
          <w:b w:val="0"/>
          <w:sz w:val="30"/>
          <w:szCs w:val="30"/>
        </w:rPr>
        <w:t>的说明</w:t>
      </w:r>
    </w:p>
    <w:p w14:paraId="540305C8" w14:textId="77777777" w:rsidR="001654D4" w:rsidRDefault="0000000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bookmarkStart w:id="7" w:name="_Toc78784574"/>
      <w:r>
        <w:rPr>
          <w:rFonts w:ascii="仿宋_GB2312" w:eastAsia="仿宋_GB2312" w:hint="eastAsia"/>
          <w:sz w:val="30"/>
          <w:szCs w:val="30"/>
        </w:rPr>
        <w:t>天津市河北区市场监督管理局(本级)2024年支出预算68,844,417.00元，与2023年预算相比减少3,102,425.00元，主要原因是厉行节约，减少开支。其中：基本支出65,117,539.00元，占94.59%；项目支出3,726,878.00元，占5.41%；事业单位经营支出0.00元，占0.00%；上缴上级支出0.00元，占0.00%；对附属单位补助支出0.00元，占0.00%。</w:t>
      </w:r>
    </w:p>
    <w:p w14:paraId="1301A79F" w14:textId="77777777" w:rsidR="001654D4" w:rsidRDefault="00000000">
      <w:pPr>
        <w:pStyle w:val="2"/>
        <w:spacing w:line="600" w:lineRule="exact"/>
        <w:ind w:firstLineChars="200" w:firstLine="600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 w:hint="eastAsia"/>
          <w:b w:val="0"/>
          <w:sz w:val="30"/>
          <w:szCs w:val="30"/>
        </w:rPr>
        <w:t>四、关于财政拨款收支总体情况表</w:t>
      </w:r>
      <w:bookmarkEnd w:id="7"/>
      <w:r>
        <w:rPr>
          <w:rFonts w:ascii="黑体" w:eastAsia="黑体" w:hAnsi="黑体" w:hint="eastAsia"/>
          <w:b w:val="0"/>
          <w:sz w:val="30"/>
          <w:szCs w:val="30"/>
        </w:rPr>
        <w:t>的说明</w:t>
      </w:r>
    </w:p>
    <w:p w14:paraId="418829B2" w14:textId="77777777" w:rsidR="001654D4" w:rsidRDefault="0000000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bookmarkStart w:id="8" w:name="_Toc78784575"/>
      <w:r>
        <w:rPr>
          <w:rFonts w:ascii="仿宋_GB2312" w:eastAsia="仿宋_GB2312" w:hint="eastAsia"/>
          <w:sz w:val="30"/>
          <w:szCs w:val="30"/>
        </w:rPr>
        <w:t>天津市河北区市场监督管理局(本级)2024年财政拨款收入预算68,844,417.00元，与2023年预算相比减少3,102,425.00元，主要原因是厉行节约，减少开支。收入包括：一般公共预算拨款收入68,844,417.00元、政府性基金预算拨款收入0.00元、国有资本经营预算拨款收入0.00元、上年财政结转结余0.00元。2024年财政拨款支出预算68,844,417.00元，与2023年预算相比减少3,102,425.00元，主要原因是厉行节约，减少开支。支出包括：一般公共服务支出57,733,873.00元、社会保障和就业支出7,746,203.00元、卫生健康支出3,364,341.00元。</w:t>
      </w:r>
    </w:p>
    <w:p w14:paraId="1FB46E94" w14:textId="77777777" w:rsidR="001654D4" w:rsidRDefault="00000000">
      <w:pPr>
        <w:pStyle w:val="2"/>
        <w:spacing w:line="600" w:lineRule="exact"/>
        <w:ind w:firstLineChars="200" w:firstLine="600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/>
          <w:b w:val="0"/>
          <w:sz w:val="30"/>
          <w:szCs w:val="30"/>
        </w:rPr>
        <w:lastRenderedPageBreak/>
        <w:t>五</w:t>
      </w:r>
      <w:r>
        <w:rPr>
          <w:rFonts w:ascii="黑体" w:eastAsia="黑体" w:hAnsi="黑体" w:hint="eastAsia"/>
          <w:b w:val="0"/>
          <w:sz w:val="30"/>
          <w:szCs w:val="30"/>
        </w:rPr>
        <w:t>、关于</w:t>
      </w:r>
      <w:r>
        <w:rPr>
          <w:rFonts w:ascii="黑体" w:eastAsia="黑体" w:hAnsi="黑体"/>
          <w:b w:val="0"/>
          <w:sz w:val="30"/>
          <w:szCs w:val="30"/>
        </w:rPr>
        <w:t>一般公共预算支出</w:t>
      </w:r>
      <w:r>
        <w:rPr>
          <w:rFonts w:ascii="黑体" w:eastAsia="黑体" w:hAnsi="黑体" w:hint="eastAsia"/>
          <w:b w:val="0"/>
          <w:sz w:val="30"/>
          <w:szCs w:val="30"/>
        </w:rPr>
        <w:t>情况表</w:t>
      </w:r>
      <w:bookmarkEnd w:id="8"/>
      <w:r>
        <w:rPr>
          <w:rFonts w:ascii="黑体" w:eastAsia="黑体" w:hAnsi="黑体" w:hint="eastAsia"/>
          <w:b w:val="0"/>
          <w:sz w:val="30"/>
          <w:szCs w:val="30"/>
        </w:rPr>
        <w:t>的说明</w:t>
      </w:r>
    </w:p>
    <w:p w14:paraId="6802E03B" w14:textId="77777777" w:rsidR="001654D4" w:rsidRDefault="00000000">
      <w:pPr>
        <w:spacing w:line="600" w:lineRule="exact"/>
        <w:ind w:leftChars="200" w:left="480"/>
        <w:rPr>
          <w:rFonts w:ascii="楷体" w:eastAsia="楷体" w:hAnsi="楷体" w:cs="仿宋_GB2312"/>
          <w:b/>
          <w:sz w:val="30"/>
          <w:szCs w:val="30"/>
        </w:rPr>
      </w:pPr>
      <w:r>
        <w:rPr>
          <w:rFonts w:ascii="楷体" w:eastAsia="楷体" w:hAnsi="楷体" w:cs="仿宋_GB2312" w:hint="eastAsia"/>
          <w:b/>
          <w:sz w:val="30"/>
          <w:szCs w:val="30"/>
        </w:rPr>
        <w:t>（一）总体情况。</w:t>
      </w:r>
    </w:p>
    <w:p w14:paraId="516127AD" w14:textId="77777777" w:rsidR="001654D4" w:rsidRDefault="0000000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天津市河北区市场监督管理局(本级)2024年一般公共预算支出68,844,417.00元，与2023年预算相比减少3,102,425.00元，主要原因是厉行节约，减少开支。</w:t>
      </w:r>
    </w:p>
    <w:p w14:paraId="173BF570" w14:textId="77777777" w:rsidR="001654D4" w:rsidRDefault="00000000">
      <w:pPr>
        <w:spacing w:line="600" w:lineRule="exact"/>
        <w:ind w:leftChars="200" w:left="480"/>
        <w:rPr>
          <w:rFonts w:ascii="楷体" w:eastAsia="楷体" w:hAnsi="楷体" w:cs="仿宋_GB2312"/>
          <w:b/>
          <w:sz w:val="30"/>
          <w:szCs w:val="30"/>
        </w:rPr>
      </w:pPr>
      <w:r>
        <w:rPr>
          <w:rFonts w:ascii="楷体" w:eastAsia="楷体" w:hAnsi="楷体" w:cs="仿宋_GB2312" w:hint="eastAsia"/>
          <w:b/>
          <w:sz w:val="30"/>
          <w:szCs w:val="30"/>
        </w:rPr>
        <w:t>（二）具体情况。</w:t>
      </w:r>
    </w:p>
    <w:p w14:paraId="72437824" w14:textId="77777777" w:rsidR="001654D4" w:rsidRDefault="0000000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1.“一般公共服务支出（类）”57,733,873.00元，与2023年预算相比减少2,981,250.00元，主要原因是厉行节约，减少开支。其中：</w:t>
      </w:r>
      <w:r>
        <w:rPr>
          <w:rFonts w:ascii="仿宋_GB2312" w:eastAsia="仿宋_GB2312" w:hint="eastAsia"/>
          <w:sz w:val="30"/>
          <w:szCs w:val="30"/>
        </w:rPr>
        <w:br/>
        <w:t xml:space="preserve">　　“市场监督管理事务（款）”57,733,873.00元，包括：“行政运行（项）”50,549,889.00元，主要用于本单位人员、公用经费支出。“一般行政管理事务（项）”4,623,984.00元，主要用于政府聘用人员工资支出。“其他市场监督管理事务（项）”2,560,000.00元，主要用于项目支出。</w:t>
      </w:r>
      <w:r>
        <w:rPr>
          <w:rFonts w:ascii="仿宋_GB2312" w:eastAsia="仿宋_GB2312" w:hint="eastAsia"/>
          <w:sz w:val="30"/>
          <w:szCs w:val="30"/>
        </w:rPr>
        <w:br/>
        <w:t xml:space="preserve">　　2.“社会保障和就业支出（类）”7,746,203.00元，与2023年预算相比减少55,548.00元，主要原因是厉行节约，减少支出。其中：</w:t>
      </w:r>
      <w:r>
        <w:rPr>
          <w:rFonts w:ascii="仿宋_GB2312" w:eastAsia="仿宋_GB2312" w:hint="eastAsia"/>
          <w:sz w:val="30"/>
          <w:szCs w:val="30"/>
        </w:rPr>
        <w:br/>
        <w:t xml:space="preserve">　　“行政事业单位养老支出（款）”7,746,203.00元，包括：“行政单位离退休（项）”1,286,670.00元，主要用于离退休人员相关支出。“机关事业单位基本养老保险缴费支出（项）”4,306,355.00元，主要用于单位养老保险缴费支出。“机关事业单位职业年金缴</w:t>
      </w:r>
      <w:r>
        <w:rPr>
          <w:rFonts w:ascii="仿宋_GB2312" w:eastAsia="仿宋_GB2312" w:hint="eastAsia"/>
          <w:sz w:val="30"/>
          <w:szCs w:val="30"/>
        </w:rPr>
        <w:lastRenderedPageBreak/>
        <w:t>费支出（项）”2,153,178.00元，主要用于单位职业年金缴费支出。</w:t>
      </w:r>
      <w:r>
        <w:rPr>
          <w:rFonts w:ascii="仿宋_GB2312" w:eastAsia="仿宋_GB2312" w:hint="eastAsia"/>
          <w:sz w:val="30"/>
          <w:szCs w:val="30"/>
        </w:rPr>
        <w:br/>
        <w:t xml:space="preserve">　　3.“卫生健康支出（类）”3,364,341.00元，与2023年预算相比减少65,627.00元，主要原因是厉行节约，减少支出。其中：</w:t>
      </w:r>
      <w:r>
        <w:rPr>
          <w:rFonts w:ascii="仿宋_GB2312" w:eastAsia="仿宋_GB2312" w:hint="eastAsia"/>
          <w:sz w:val="30"/>
          <w:szCs w:val="30"/>
        </w:rPr>
        <w:br/>
        <w:t xml:space="preserve">　　“行政事业单位医疗（款）”3,364,341.00元，包括：“行政单位医疗（项）”2,826,046.00元，主要用于本单位医疗支出。“公务员医疗补助（项）”538,295.00元，主要用于单位医疗补助支出。</w:t>
      </w:r>
    </w:p>
    <w:p w14:paraId="2164EE99" w14:textId="77777777" w:rsidR="001654D4" w:rsidRDefault="001654D4">
      <w:pPr>
        <w:spacing w:line="600" w:lineRule="exact"/>
        <w:rPr>
          <w:rFonts w:ascii="楷体" w:eastAsia="楷体" w:hAnsi="楷体" w:cs="仿宋_GB2312"/>
          <w:b/>
          <w:sz w:val="30"/>
          <w:szCs w:val="30"/>
        </w:rPr>
      </w:pPr>
    </w:p>
    <w:p w14:paraId="38221E40" w14:textId="77777777" w:rsidR="001654D4" w:rsidRDefault="00000000">
      <w:pPr>
        <w:pStyle w:val="2"/>
        <w:spacing w:line="600" w:lineRule="exact"/>
        <w:ind w:firstLineChars="200" w:firstLine="600"/>
        <w:rPr>
          <w:rFonts w:ascii="黑体" w:eastAsia="黑体" w:hAnsi="黑体"/>
          <w:b w:val="0"/>
          <w:sz w:val="30"/>
          <w:szCs w:val="30"/>
        </w:rPr>
      </w:pPr>
      <w:bookmarkStart w:id="9" w:name="_Toc78784576"/>
      <w:r>
        <w:rPr>
          <w:rFonts w:ascii="黑体" w:eastAsia="黑体" w:hAnsi="黑体"/>
          <w:b w:val="0"/>
          <w:sz w:val="30"/>
          <w:szCs w:val="30"/>
        </w:rPr>
        <w:t>六、</w:t>
      </w:r>
      <w:r>
        <w:rPr>
          <w:rFonts w:ascii="黑体" w:eastAsia="黑体" w:hAnsi="黑体" w:hint="eastAsia"/>
          <w:b w:val="0"/>
          <w:sz w:val="30"/>
          <w:szCs w:val="30"/>
        </w:rPr>
        <w:t>关于</w:t>
      </w:r>
      <w:r>
        <w:rPr>
          <w:rFonts w:ascii="黑体" w:eastAsia="黑体" w:hAnsi="黑体"/>
          <w:b w:val="0"/>
          <w:sz w:val="30"/>
          <w:szCs w:val="30"/>
        </w:rPr>
        <w:t>一般公共预算基本支出情况</w:t>
      </w:r>
      <w:bookmarkEnd w:id="9"/>
      <w:r>
        <w:rPr>
          <w:rFonts w:ascii="黑体" w:eastAsia="黑体" w:hAnsi="黑体" w:hint="eastAsia"/>
          <w:b w:val="0"/>
          <w:sz w:val="30"/>
          <w:szCs w:val="30"/>
        </w:rPr>
        <w:t>表的说明</w:t>
      </w:r>
    </w:p>
    <w:p w14:paraId="0FEF5FB6" w14:textId="77777777" w:rsidR="001654D4" w:rsidRDefault="0000000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bookmarkStart w:id="10" w:name="_Toc78784577"/>
      <w:r>
        <w:rPr>
          <w:rFonts w:ascii="仿宋_GB2312" w:eastAsia="仿宋_GB2312" w:hint="eastAsia"/>
          <w:sz w:val="30"/>
          <w:szCs w:val="30"/>
        </w:rPr>
        <w:t>天津市河北区市场监督管理局(本级)一般公共预算基本支出65,117,539.00元，与2023年预算相比减少5,519,303.00元，主要原因是厉行节约，减少支出。其中：</w:t>
      </w:r>
      <w:r>
        <w:rPr>
          <w:rFonts w:ascii="仿宋_GB2312" w:eastAsia="仿宋_GB2312" w:hint="eastAsia"/>
          <w:sz w:val="30"/>
          <w:szCs w:val="30"/>
        </w:rPr>
        <w:br/>
        <w:t xml:space="preserve">　　人员经费56,706,802.00元，主要包括：基本工资、津贴补贴、奖金、机关事业单位基本养老保险缴费、职业年金缴费、职工基本医疗保险缴费、公务员医疗补助缴费、其他社会保障缴费、住房公积金、其他工资福利支出、离休费、退休费、生活补助、奖励金。</w:t>
      </w:r>
      <w:r>
        <w:rPr>
          <w:rFonts w:ascii="仿宋_GB2312" w:eastAsia="仿宋_GB2312" w:hint="eastAsia"/>
          <w:sz w:val="30"/>
          <w:szCs w:val="30"/>
        </w:rPr>
        <w:br/>
        <w:t xml:space="preserve">　　公用经费8,410,737.00元，主要包括：办公费、水费、电费、邮电费、取暖费、物业管理费、差旅费、维修(护)费、培训费、工会经费、福利费、公务用车运行维护费、其他交通费用、其他商品和服务支出。</w:t>
      </w:r>
    </w:p>
    <w:p w14:paraId="6D377027" w14:textId="77777777" w:rsidR="001654D4" w:rsidRDefault="00000000">
      <w:pPr>
        <w:pStyle w:val="2"/>
        <w:spacing w:line="600" w:lineRule="exact"/>
        <w:ind w:firstLineChars="200" w:firstLine="600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 w:hint="eastAsia"/>
          <w:b w:val="0"/>
          <w:sz w:val="30"/>
          <w:szCs w:val="30"/>
        </w:rPr>
        <w:lastRenderedPageBreak/>
        <w:t>七、关于一般公共预算“三公”经费支出情况表的说明</w:t>
      </w:r>
    </w:p>
    <w:p w14:paraId="02D67A5D" w14:textId="77777777" w:rsidR="001654D4" w:rsidRDefault="0000000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2024年一般公共预算“三公”经费安排237,500.00元，与2023年预算相比减少337,500.00元，主要原因是厉行节约，减少支出。具体情况：</w:t>
      </w:r>
      <w:r>
        <w:rPr>
          <w:rFonts w:ascii="仿宋_GB2312" w:eastAsia="仿宋_GB2312" w:hint="eastAsia"/>
          <w:sz w:val="30"/>
          <w:szCs w:val="30"/>
        </w:rPr>
        <w:br/>
        <w:t xml:space="preserve">　　一、2024年因公出国（境）费预算0.00元，与2023年预算相比增加（减少）0.00元，主要原因是本部门一般公共预算未安排“因公出国（境）”费。</w:t>
      </w:r>
      <w:r>
        <w:rPr>
          <w:rFonts w:ascii="仿宋_GB2312" w:eastAsia="仿宋_GB2312" w:hint="eastAsia"/>
          <w:sz w:val="30"/>
          <w:szCs w:val="30"/>
        </w:rPr>
        <w:br/>
        <w:t xml:space="preserve">　　二、2024年公务用车购置及运行费预算237,500.00元，其中公务用车运行费237,500.00元，与2023年预算相比增加237,500.00元，主要原因是2023年未安排公务用车运行费。公务用车购置费0.00元，与2023年预算相比减少575,000.00元，主要原因是本部门一般公共预算未安排“公务用车购置”费。</w:t>
      </w:r>
      <w:r>
        <w:rPr>
          <w:rFonts w:ascii="仿宋_GB2312" w:eastAsia="仿宋_GB2312" w:hint="eastAsia"/>
          <w:sz w:val="30"/>
          <w:szCs w:val="30"/>
        </w:rPr>
        <w:br/>
        <w:t xml:space="preserve">　　三、2024年公务接待费预算0.00元，与2023年预算相比增加（减少）0.00元，主要原因是本部门一般公共预算未安排“公务接待”费。</w:t>
      </w:r>
    </w:p>
    <w:p w14:paraId="7920EE5D" w14:textId="77777777" w:rsidR="001654D4" w:rsidRDefault="00000000">
      <w:pPr>
        <w:pStyle w:val="2"/>
        <w:spacing w:line="600" w:lineRule="exact"/>
        <w:ind w:firstLineChars="200" w:firstLine="600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 w:hint="eastAsia"/>
          <w:b w:val="0"/>
          <w:sz w:val="30"/>
          <w:szCs w:val="30"/>
        </w:rPr>
        <w:t>八</w:t>
      </w:r>
      <w:r>
        <w:rPr>
          <w:rFonts w:ascii="黑体" w:eastAsia="黑体" w:hAnsi="黑体"/>
          <w:b w:val="0"/>
          <w:sz w:val="30"/>
          <w:szCs w:val="30"/>
        </w:rPr>
        <w:t>、</w:t>
      </w:r>
      <w:r>
        <w:rPr>
          <w:rFonts w:ascii="黑体" w:eastAsia="黑体" w:hAnsi="黑体" w:hint="eastAsia"/>
          <w:b w:val="0"/>
          <w:sz w:val="30"/>
          <w:szCs w:val="30"/>
        </w:rPr>
        <w:t>关于</w:t>
      </w:r>
      <w:r>
        <w:rPr>
          <w:rFonts w:ascii="黑体" w:eastAsia="黑体" w:hAnsi="黑体"/>
          <w:b w:val="0"/>
          <w:sz w:val="30"/>
          <w:szCs w:val="30"/>
        </w:rPr>
        <w:t>政府性基金预算</w:t>
      </w:r>
      <w:r>
        <w:rPr>
          <w:rFonts w:ascii="黑体" w:eastAsia="黑体" w:hAnsi="黑体" w:hint="eastAsia"/>
          <w:b w:val="0"/>
          <w:sz w:val="30"/>
          <w:szCs w:val="30"/>
        </w:rPr>
        <w:t>支出</w:t>
      </w:r>
      <w:r>
        <w:rPr>
          <w:rFonts w:ascii="黑体" w:eastAsia="黑体" w:hAnsi="黑体"/>
          <w:b w:val="0"/>
          <w:sz w:val="30"/>
          <w:szCs w:val="30"/>
        </w:rPr>
        <w:t>情况</w:t>
      </w:r>
      <w:bookmarkEnd w:id="10"/>
      <w:r>
        <w:rPr>
          <w:rFonts w:ascii="黑体" w:eastAsia="黑体" w:hAnsi="黑体" w:hint="eastAsia"/>
          <w:b w:val="0"/>
          <w:sz w:val="30"/>
          <w:szCs w:val="30"/>
        </w:rPr>
        <w:t>表的说明</w:t>
      </w:r>
    </w:p>
    <w:p w14:paraId="7F6568E9" w14:textId="77777777" w:rsidR="001654D4" w:rsidRDefault="00000000">
      <w:pPr>
        <w:spacing w:line="600" w:lineRule="exact"/>
        <w:ind w:firstLineChars="200" w:firstLine="602"/>
        <w:rPr>
          <w:rFonts w:eastAsia="仿宋_GB2312"/>
          <w:sz w:val="30"/>
          <w:szCs w:val="30"/>
        </w:rPr>
      </w:pPr>
      <w:r>
        <w:rPr>
          <w:rFonts w:ascii="楷体" w:eastAsia="楷体" w:hAnsi="楷体" w:cs="仿宋_GB2312" w:hint="eastAsia"/>
          <w:b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2024年天津市河北区市场监督管理局(本级)预算中没有使用政府性基金预算安排的支出。</w:t>
      </w:r>
      <w:r>
        <w:rPr>
          <w:rFonts w:ascii="楷体" w:eastAsia="楷体" w:hAnsi="楷体" w:cs="仿宋_GB2312" w:hint="eastAsia"/>
          <w:b/>
          <w:sz w:val="30"/>
          <w:szCs w:val="30"/>
        </w:rPr>
        <w:t xml:space="preserve"> </w:t>
      </w:r>
      <w:bookmarkStart w:id="11" w:name="_Toc78784578"/>
      <w:r>
        <w:rPr>
          <w:rFonts w:ascii="仿宋_GB2312" w:eastAsia="仿宋_GB2312" w:hint="eastAsia"/>
          <w:sz w:val="30"/>
          <w:szCs w:val="30"/>
        </w:rPr>
        <w:t xml:space="preserve"> </w:t>
      </w:r>
    </w:p>
    <w:p w14:paraId="70769E9D" w14:textId="77777777" w:rsidR="001654D4" w:rsidRDefault="00000000">
      <w:pPr>
        <w:pStyle w:val="2"/>
        <w:spacing w:line="600" w:lineRule="exact"/>
        <w:ind w:firstLineChars="200" w:firstLine="600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 w:hint="eastAsia"/>
          <w:b w:val="0"/>
          <w:sz w:val="30"/>
          <w:szCs w:val="30"/>
        </w:rPr>
        <w:t>九、关于国有资本经营预算支出情况表</w:t>
      </w:r>
      <w:bookmarkEnd w:id="11"/>
      <w:r>
        <w:rPr>
          <w:rFonts w:ascii="黑体" w:eastAsia="黑体" w:hAnsi="黑体" w:hint="eastAsia"/>
          <w:b w:val="0"/>
          <w:sz w:val="30"/>
          <w:szCs w:val="30"/>
        </w:rPr>
        <w:t>的说明</w:t>
      </w:r>
    </w:p>
    <w:p w14:paraId="11AFE380" w14:textId="77777777" w:rsidR="001654D4" w:rsidRDefault="00000000">
      <w:pPr>
        <w:spacing w:line="600" w:lineRule="exact"/>
        <w:ind w:firstLineChars="200" w:firstLine="602"/>
      </w:pPr>
      <w:r>
        <w:rPr>
          <w:rFonts w:ascii="楷体" w:eastAsia="楷体" w:hAnsi="楷体" w:cs="仿宋_GB2312" w:hint="eastAsia"/>
          <w:b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2024年天津市河北区市场监督管理局(本级)预算中没有使用</w:t>
      </w:r>
      <w:r>
        <w:rPr>
          <w:rFonts w:ascii="仿宋_GB2312" w:eastAsia="仿宋_GB2312" w:hint="eastAsia"/>
          <w:sz w:val="30"/>
          <w:szCs w:val="30"/>
        </w:rPr>
        <w:lastRenderedPageBreak/>
        <w:t>国有资本经营</w:t>
      </w:r>
      <w:proofErr w:type="gramStart"/>
      <w:r>
        <w:rPr>
          <w:rFonts w:ascii="仿宋_GB2312" w:eastAsia="仿宋_GB2312" w:hint="eastAsia"/>
          <w:sz w:val="30"/>
          <w:szCs w:val="30"/>
        </w:rPr>
        <w:t>预算预算</w:t>
      </w:r>
      <w:proofErr w:type="gramEnd"/>
      <w:r>
        <w:rPr>
          <w:rFonts w:ascii="仿宋_GB2312" w:eastAsia="仿宋_GB2312" w:hint="eastAsia"/>
          <w:sz w:val="30"/>
          <w:szCs w:val="30"/>
        </w:rPr>
        <w:t>安排的支出。</w:t>
      </w:r>
      <w:r>
        <w:rPr>
          <w:rFonts w:ascii="楷体" w:eastAsia="楷体" w:hAnsi="楷体" w:cs="仿宋_GB2312" w:hint="eastAsia"/>
          <w:b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 xml:space="preserve"> </w:t>
      </w:r>
    </w:p>
    <w:p w14:paraId="23B75FB9" w14:textId="77777777" w:rsidR="001654D4" w:rsidRDefault="00000000">
      <w:pPr>
        <w:pStyle w:val="2"/>
        <w:spacing w:line="600" w:lineRule="exact"/>
        <w:ind w:firstLineChars="200" w:firstLine="600"/>
        <w:rPr>
          <w:rFonts w:ascii="黑体" w:eastAsia="黑体" w:hAnsi="黑体"/>
          <w:b w:val="0"/>
          <w:sz w:val="30"/>
          <w:szCs w:val="30"/>
        </w:rPr>
      </w:pPr>
      <w:bookmarkStart w:id="12" w:name="_Toc78784579"/>
      <w:r>
        <w:rPr>
          <w:rFonts w:ascii="黑体" w:eastAsia="黑体" w:hAnsi="黑体" w:hint="eastAsia"/>
          <w:b w:val="0"/>
          <w:sz w:val="30"/>
          <w:szCs w:val="30"/>
        </w:rPr>
        <w:t>十、其他重要事项的情况说明</w:t>
      </w:r>
    </w:p>
    <w:p w14:paraId="4CDFF4DA" w14:textId="77777777" w:rsidR="001654D4" w:rsidRDefault="00000000">
      <w:pPr>
        <w:spacing w:line="600" w:lineRule="exact"/>
        <w:ind w:leftChars="200" w:left="480"/>
        <w:rPr>
          <w:rFonts w:ascii="楷体" w:eastAsia="楷体" w:hAnsi="楷体" w:cs="仿宋_GB2312"/>
          <w:b/>
          <w:sz w:val="30"/>
          <w:szCs w:val="30"/>
        </w:rPr>
      </w:pPr>
      <w:r>
        <w:rPr>
          <w:rFonts w:ascii="楷体" w:eastAsia="楷体" w:hAnsi="楷体" w:cs="仿宋_GB2312" w:hint="eastAsia"/>
          <w:b/>
          <w:sz w:val="30"/>
          <w:szCs w:val="30"/>
        </w:rPr>
        <w:t>（一）</w:t>
      </w:r>
      <w:r>
        <w:rPr>
          <w:rFonts w:ascii="楷体" w:eastAsia="楷体" w:hAnsi="楷体" w:cs="仿宋_GB2312"/>
          <w:b/>
          <w:sz w:val="30"/>
          <w:szCs w:val="30"/>
        </w:rPr>
        <w:t>机关运行经费</w:t>
      </w:r>
      <w:bookmarkEnd w:id="12"/>
      <w:r>
        <w:rPr>
          <w:rFonts w:ascii="楷体" w:eastAsia="楷体" w:hAnsi="楷体" w:cs="仿宋_GB2312" w:hint="eastAsia"/>
          <w:b/>
          <w:sz w:val="30"/>
          <w:szCs w:val="30"/>
        </w:rPr>
        <w:t>。</w:t>
      </w:r>
    </w:p>
    <w:p w14:paraId="46C13553" w14:textId="77777777" w:rsidR="001654D4" w:rsidRDefault="00000000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天津市河北区市场监督管理局(本级)2024年1家行政单位的机关运行经费预算8,410,737.00元，包括：“办公费”577,500.00元、“水费”92,400.00元、“电费”198,660.00元、“邮电费”161,700.00元、“取暖费”473,058.00元、“物业管理费”1,166,879.00元、“差旅费”36,960.00元、“维修(护)费”46,200.00元、“培训费”41,580.00元、“工会经费”402,740.00元、“福利费”887,303.00元、“公务用车运行维护费”237,500.00元、“其他交通费用”1,771,680.00元、“其他商品和服务支出”2,316,127.00元。</w:t>
      </w:r>
    </w:p>
    <w:p w14:paraId="7D277ABB" w14:textId="77777777" w:rsidR="001654D4" w:rsidRDefault="00000000">
      <w:pPr>
        <w:spacing w:line="600" w:lineRule="exact"/>
        <w:ind w:leftChars="200" w:left="480"/>
        <w:rPr>
          <w:rFonts w:ascii="楷体" w:eastAsia="楷体" w:hAnsi="楷体" w:cs="仿宋_GB2312"/>
          <w:b/>
          <w:sz w:val="30"/>
          <w:szCs w:val="30"/>
        </w:rPr>
      </w:pPr>
      <w:r>
        <w:rPr>
          <w:rFonts w:ascii="楷体" w:eastAsia="楷体" w:hAnsi="楷体" w:cs="仿宋_GB2312" w:hint="eastAsia"/>
          <w:b/>
          <w:sz w:val="30"/>
          <w:szCs w:val="30"/>
        </w:rPr>
        <w:t>（二）政府采购情况。</w:t>
      </w:r>
    </w:p>
    <w:p w14:paraId="6E9C4002" w14:textId="77777777" w:rsidR="001654D4" w:rsidRDefault="00000000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部门2024年安排政府采购预算3,068,720.00元，其中：政府采购货物支出38,720.00元、政府采购服务支出3,030,000元、政府采购工程支出0元。主要项目是：食堂项目1,030,000.00元，创建国家食品安全示范城市项目2,000,000.00元，办公用品采购38720元。</w:t>
      </w:r>
    </w:p>
    <w:p w14:paraId="7B50721A" w14:textId="77777777" w:rsidR="001654D4" w:rsidRDefault="00000000">
      <w:pPr>
        <w:spacing w:line="600" w:lineRule="exact"/>
        <w:ind w:leftChars="200" w:left="480"/>
        <w:rPr>
          <w:rFonts w:ascii="楷体" w:eastAsia="楷体" w:hAnsi="楷体" w:cs="仿宋_GB2312"/>
          <w:b/>
          <w:sz w:val="30"/>
          <w:szCs w:val="30"/>
        </w:rPr>
      </w:pPr>
      <w:r>
        <w:rPr>
          <w:rFonts w:ascii="楷体" w:eastAsia="楷体" w:hAnsi="楷体" w:cs="仿宋_GB2312" w:hint="eastAsia"/>
          <w:b/>
          <w:sz w:val="30"/>
          <w:szCs w:val="30"/>
        </w:rPr>
        <w:t>（三）国有资产占用情况。</w:t>
      </w:r>
    </w:p>
    <w:p w14:paraId="58364681" w14:textId="77777777" w:rsidR="001654D4" w:rsidRDefault="00000000">
      <w:pPr>
        <w:spacing w:line="580" w:lineRule="exact"/>
        <w:ind w:firstLineChars="200" w:firstLine="600"/>
        <w:jc w:val="both"/>
        <w:rPr>
          <w:rFonts w:eastAsia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截至2023年7月底，本部门各单位共有车辆0辆，其中：副部（省）级及以上领导用车0辆、主要负责人干部用车0辆、机要通信用车0辆、应急保障用车0辆、执法执勤用车0辆、特种专业技术用车0辆、离退休干部服务用车0辆、其他用车0辆，其他用车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lastRenderedPageBreak/>
        <w:t>主要包括无。单价（账面原值）100万元以上的设备0台（套）。</w:t>
      </w:r>
    </w:p>
    <w:p w14:paraId="353BB4D5" w14:textId="77777777" w:rsidR="001654D4" w:rsidRDefault="00000000">
      <w:pPr>
        <w:spacing w:line="600" w:lineRule="exact"/>
        <w:ind w:leftChars="200" w:left="480"/>
        <w:rPr>
          <w:rFonts w:ascii="楷体" w:eastAsia="楷体" w:hAnsi="楷体" w:cs="仿宋_GB2312"/>
          <w:b/>
          <w:sz w:val="30"/>
          <w:szCs w:val="30"/>
        </w:rPr>
      </w:pPr>
      <w:r>
        <w:rPr>
          <w:rFonts w:ascii="楷体" w:eastAsia="楷体" w:hAnsi="楷体" w:cs="仿宋_GB2312" w:hint="eastAsia"/>
          <w:b/>
          <w:sz w:val="30"/>
          <w:szCs w:val="30"/>
        </w:rPr>
        <w:t>（四）预算绩效情况说明。</w:t>
      </w:r>
    </w:p>
    <w:p w14:paraId="4E950D6B" w14:textId="77777777" w:rsidR="001654D4" w:rsidRDefault="00000000">
      <w:pPr>
        <w:spacing w:line="580" w:lineRule="exact"/>
        <w:ind w:firstLineChars="200" w:firstLine="600"/>
        <w:jc w:val="both"/>
        <w:rPr>
          <w:rFonts w:ascii="仿宋_GB2312" w:eastAsia="仿宋_GB2312" w:hAnsi="仿宋_GB2312" w:cs="仿宋_GB2312"/>
          <w:sz w:val="30"/>
          <w:szCs w:val="30"/>
        </w:rPr>
        <w:sectPr w:rsidR="001654D4" w:rsidSect="000A5629">
          <w:pgSz w:w="11907" w:h="16840"/>
          <w:pgMar w:top="2098" w:right="1474" w:bottom="1304" w:left="1588" w:header="765" w:footer="765" w:gutter="0"/>
          <w:pgNumType w:fmt="numberInDash" w:start="1"/>
          <w:cols w:space="720"/>
          <w:docGrid w:linePitch="326"/>
        </w:sectPr>
      </w:pPr>
      <w:r>
        <w:rPr>
          <w:rFonts w:ascii="仿宋_GB2312" w:eastAsia="仿宋_GB2312" w:hAnsi="仿宋_GB2312" w:cs="仿宋_GB2312" w:hint="eastAsia"/>
          <w:sz w:val="30"/>
          <w:szCs w:val="30"/>
        </w:rPr>
        <w:t>本部门2024年实行绩效目标管理的项目7个，涉及预算金额3,762,878.00元。</w:t>
      </w:r>
    </w:p>
    <w:p w14:paraId="4730AAFF" w14:textId="77777777" w:rsidR="001654D4" w:rsidRDefault="001654D4">
      <w:pPr>
        <w:spacing w:line="580" w:lineRule="exact"/>
        <w:jc w:val="both"/>
        <w:rPr>
          <w:rFonts w:ascii="仿宋_GB2312" w:eastAsia="仿宋_GB2312" w:hAnsi="仿宋_GB2312" w:cs="仿宋_GB2312"/>
          <w:sz w:val="30"/>
          <w:szCs w:val="30"/>
        </w:rPr>
      </w:pPr>
    </w:p>
    <w:p w14:paraId="311CCC68" w14:textId="77777777" w:rsidR="001654D4" w:rsidRDefault="00000000">
      <w:pPr>
        <w:pStyle w:val="1"/>
        <w:spacing w:line="600" w:lineRule="exact"/>
        <w:jc w:val="center"/>
        <w:rPr>
          <w:rFonts w:ascii="黑体" w:eastAsia="黑体" w:hAnsi="黑体" w:cs="黑体"/>
        </w:rPr>
      </w:pPr>
      <w:bookmarkStart w:id="13" w:name="_Toc78784585"/>
      <w:r>
        <w:rPr>
          <w:rFonts w:ascii="黑体" w:eastAsia="黑体" w:hAnsi="黑体" w:cs="黑体" w:hint="eastAsia"/>
        </w:rPr>
        <w:t>第三部分  名词解释</w:t>
      </w:r>
      <w:bookmarkEnd w:id="13"/>
    </w:p>
    <w:p w14:paraId="38DA8E78" w14:textId="77777777" w:rsidR="001654D4" w:rsidRDefault="001654D4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14:paraId="33985F85" w14:textId="77777777" w:rsidR="001654D4" w:rsidRDefault="00000000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>
        <w:rPr>
          <w:rFonts w:eastAsia="仿宋_GB2312" w:hint="eastAsia"/>
          <w:sz w:val="30"/>
          <w:szCs w:val="30"/>
        </w:rPr>
        <w:t>部门预算。是指主管预算部门依据相关法律、法规和政策规定及其行使职能需要，组织所属预算单位编制并逐级上报、审核、汇总，经财政部门审核后按程序依法批准的部门综合收支计划。</w:t>
      </w:r>
    </w:p>
    <w:p w14:paraId="7795478E" w14:textId="77777777" w:rsidR="001654D4" w:rsidRDefault="00000000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2.</w:t>
      </w: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/>
          <w:sz w:val="30"/>
          <w:szCs w:val="30"/>
        </w:rPr>
        <w:t>机关运行经费</w:t>
      </w:r>
      <w:r>
        <w:rPr>
          <w:rFonts w:eastAsia="仿宋_GB2312" w:hint="eastAsia"/>
          <w:sz w:val="30"/>
          <w:szCs w:val="30"/>
        </w:rPr>
        <w:t>。</w:t>
      </w:r>
      <w:r>
        <w:rPr>
          <w:rFonts w:eastAsia="仿宋_GB2312"/>
          <w:sz w:val="30"/>
          <w:szCs w:val="30"/>
        </w:rPr>
        <w:t>是指各部门的公用经费，包括办公及印刷费、邮电费、差旅费、会议费、福利费、日常维修费、专用材料及一般设备购置费、办公用房水电费、办公用房取暖费、办公用房物业管理费、公务用车运行维护费以及其他费用</w:t>
      </w:r>
      <w:r>
        <w:rPr>
          <w:rFonts w:eastAsia="仿宋_GB2312" w:hint="eastAsia"/>
          <w:sz w:val="30"/>
          <w:szCs w:val="30"/>
        </w:rPr>
        <w:t>。</w:t>
      </w:r>
    </w:p>
    <w:p w14:paraId="34E71569" w14:textId="77777777" w:rsidR="001654D4" w:rsidRDefault="00000000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eastAsia="楷体_GB2312" w:hint="eastAsia"/>
          <w:sz w:val="30"/>
          <w:szCs w:val="30"/>
        </w:rPr>
        <w:t>（“部门预算”和“机关运行经费”作为专业</w:t>
      </w:r>
      <w:proofErr w:type="gramStart"/>
      <w:r>
        <w:rPr>
          <w:rFonts w:eastAsia="楷体_GB2312" w:hint="eastAsia"/>
          <w:sz w:val="30"/>
          <w:szCs w:val="30"/>
        </w:rPr>
        <w:t>性名</w:t>
      </w:r>
      <w:proofErr w:type="gramEnd"/>
      <w:r>
        <w:rPr>
          <w:rFonts w:eastAsia="楷体_GB2312" w:hint="eastAsia"/>
          <w:sz w:val="30"/>
          <w:szCs w:val="30"/>
        </w:rPr>
        <w:t>词各单位必须公开。除此之外，</w:t>
      </w:r>
      <w:r>
        <w:rPr>
          <w:rFonts w:eastAsia="楷体_GB2312"/>
          <w:sz w:val="30"/>
          <w:szCs w:val="30"/>
        </w:rPr>
        <w:t>各单位可</w:t>
      </w:r>
      <w:r>
        <w:rPr>
          <w:rFonts w:eastAsia="楷体_GB2312" w:hint="eastAsia"/>
          <w:sz w:val="30"/>
          <w:szCs w:val="30"/>
        </w:rPr>
        <w:t>根据需要对说明中其他专业性较强名词</w:t>
      </w:r>
      <w:r>
        <w:rPr>
          <w:rFonts w:eastAsia="楷体_GB2312"/>
          <w:sz w:val="30"/>
          <w:szCs w:val="30"/>
        </w:rPr>
        <w:t>进行解释</w:t>
      </w:r>
      <w:r>
        <w:rPr>
          <w:rFonts w:eastAsia="楷体_GB2312" w:hint="eastAsia"/>
          <w:sz w:val="30"/>
          <w:szCs w:val="30"/>
        </w:rPr>
        <w:t>。</w:t>
      </w:r>
      <w:r>
        <w:rPr>
          <w:rFonts w:eastAsia="楷体_GB2312"/>
          <w:sz w:val="30"/>
          <w:szCs w:val="30"/>
        </w:rPr>
        <w:t>）</w:t>
      </w:r>
    </w:p>
    <w:p w14:paraId="202D3CAE" w14:textId="77777777" w:rsidR="001654D4" w:rsidRDefault="001654D4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</w:p>
    <w:p w14:paraId="027DA965" w14:textId="77777777" w:rsidR="001654D4" w:rsidRDefault="001654D4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</w:p>
    <w:p w14:paraId="29D8346D" w14:textId="77777777" w:rsidR="001654D4" w:rsidRDefault="001654D4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</w:p>
    <w:p w14:paraId="665FFDEF" w14:textId="77777777" w:rsidR="001654D4" w:rsidRDefault="001654D4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</w:p>
    <w:p w14:paraId="0B9D9D7B" w14:textId="77777777" w:rsidR="001654D4" w:rsidRDefault="001654D4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</w:p>
    <w:p w14:paraId="38AF417D" w14:textId="77777777" w:rsidR="001654D4" w:rsidRDefault="001654D4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</w:p>
    <w:p w14:paraId="36702F07" w14:textId="77777777" w:rsidR="001654D4" w:rsidRDefault="001654D4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</w:p>
    <w:p w14:paraId="08C8F87D" w14:textId="77777777" w:rsidR="001654D4" w:rsidRDefault="001654D4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</w:p>
    <w:p w14:paraId="20F177D4" w14:textId="77777777" w:rsidR="001654D4" w:rsidRDefault="00000000">
      <w:pPr>
        <w:pStyle w:val="1"/>
        <w:spacing w:line="600" w:lineRule="exact"/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lastRenderedPageBreak/>
        <w:t>第四部分  2024年部门预算表</w:t>
      </w:r>
    </w:p>
    <w:p w14:paraId="6A8EBE21" w14:textId="77777777" w:rsidR="001654D4" w:rsidRDefault="00000000">
      <w:pPr>
        <w:spacing w:line="560" w:lineRule="exact"/>
        <w:ind w:leftChars="200" w:left="48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一、《部门收支总体情况表》</w:t>
      </w:r>
    </w:p>
    <w:p w14:paraId="0120E816" w14:textId="77777777" w:rsidR="001654D4" w:rsidRDefault="00000000">
      <w:pPr>
        <w:spacing w:line="560" w:lineRule="exact"/>
        <w:ind w:leftChars="200" w:left="48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二、《部门收入总体情况表》</w:t>
      </w:r>
    </w:p>
    <w:p w14:paraId="66743D47" w14:textId="77777777" w:rsidR="001654D4" w:rsidRDefault="00000000">
      <w:pPr>
        <w:spacing w:line="560" w:lineRule="exact"/>
        <w:ind w:leftChars="200" w:left="48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三、《部门支出总体情况表》</w:t>
      </w:r>
    </w:p>
    <w:p w14:paraId="145FA9DC" w14:textId="77777777" w:rsidR="001654D4" w:rsidRDefault="00000000">
      <w:pPr>
        <w:spacing w:line="560" w:lineRule="exact"/>
        <w:ind w:leftChars="200" w:left="48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四、《财政拨款收支总体情况表》</w:t>
      </w:r>
    </w:p>
    <w:p w14:paraId="35040C6D" w14:textId="77777777" w:rsidR="001654D4" w:rsidRDefault="00000000">
      <w:pPr>
        <w:spacing w:line="560" w:lineRule="exact"/>
        <w:ind w:leftChars="200" w:left="48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五、《一般公共预算支出情况表》</w:t>
      </w:r>
    </w:p>
    <w:p w14:paraId="775D9194" w14:textId="77777777" w:rsidR="001654D4" w:rsidRDefault="00000000">
      <w:pPr>
        <w:spacing w:line="560" w:lineRule="exact"/>
        <w:ind w:leftChars="200" w:left="48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六、《一般公共预算基本支出情况表》</w:t>
      </w:r>
    </w:p>
    <w:p w14:paraId="5BA6CEC1" w14:textId="77777777" w:rsidR="001654D4" w:rsidRDefault="00000000">
      <w:pPr>
        <w:spacing w:line="560" w:lineRule="exact"/>
        <w:ind w:leftChars="200" w:left="48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七、《一般公共预算“三公”经费支出情况表》</w:t>
      </w:r>
    </w:p>
    <w:p w14:paraId="2956A2D9" w14:textId="77777777" w:rsidR="001654D4" w:rsidRDefault="00000000">
      <w:pPr>
        <w:spacing w:line="560" w:lineRule="exact"/>
        <w:ind w:leftChars="200" w:left="48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八、《政府性基金预算支出情况表》</w:t>
      </w:r>
    </w:p>
    <w:p w14:paraId="7BB22569" w14:textId="77777777" w:rsidR="001654D4" w:rsidRDefault="00000000">
      <w:pPr>
        <w:spacing w:line="560" w:lineRule="exact"/>
        <w:ind w:leftChars="200" w:left="48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九、《国有资本经营预算支出情况表》</w:t>
      </w:r>
    </w:p>
    <w:p w14:paraId="7C523164" w14:textId="77777777" w:rsidR="001654D4" w:rsidRDefault="00000000">
      <w:pPr>
        <w:spacing w:line="560" w:lineRule="exact"/>
        <w:ind w:leftChars="200" w:left="48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十、《项目支出表》</w:t>
      </w:r>
    </w:p>
    <w:p w14:paraId="783DBA18" w14:textId="77777777" w:rsidR="001654D4" w:rsidRDefault="00000000">
      <w:pPr>
        <w:spacing w:line="560" w:lineRule="exact"/>
        <w:ind w:leftChars="200" w:left="48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十一、关于空表的说明</w:t>
      </w:r>
      <w:r>
        <w:rPr>
          <w:rFonts w:ascii="楷体_GB2312" w:eastAsia="楷体_GB2312" w:hint="eastAsia"/>
          <w:b/>
          <w:sz w:val="30"/>
          <w:szCs w:val="30"/>
        </w:rPr>
        <w:tab/>
      </w:r>
    </w:p>
    <w:p w14:paraId="731912CB" w14:textId="25DC586E" w:rsidR="001654D4" w:rsidRDefault="00000000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1.“本</w:t>
      </w:r>
      <w:r w:rsidR="0071525E" w:rsidRPr="0071525E">
        <w:rPr>
          <w:rFonts w:ascii="仿宋_GB2312" w:eastAsia="仿宋_GB2312" w:hAnsi="仿宋_GB2312" w:cs="仿宋_GB2312" w:hint="eastAsia"/>
          <w:sz w:val="30"/>
          <w:szCs w:val="30"/>
        </w:rPr>
        <w:t>单位（部门）</w:t>
      </w:r>
      <w:r>
        <w:rPr>
          <w:rFonts w:ascii="仿宋_GB2312" w:eastAsia="仿宋_GB2312" w:hAnsi="仿宋_GB2312" w:cs="仿宋_GB2312" w:hint="eastAsia"/>
          <w:sz w:val="30"/>
          <w:szCs w:val="30"/>
        </w:rPr>
        <w:t>2024年政府性基金预算支出情况表为空表”。</w:t>
      </w:r>
      <w:r>
        <w:rPr>
          <w:rFonts w:ascii="仿宋_GB2312" w:eastAsia="仿宋_GB2312" w:hAnsi="仿宋_GB2312" w:cs="仿宋_GB2312" w:hint="eastAsia"/>
          <w:sz w:val="30"/>
          <w:szCs w:val="30"/>
        </w:rPr>
        <w:br/>
        <w:t xml:space="preserve">　　2.“本</w:t>
      </w:r>
      <w:r w:rsidR="0071525E" w:rsidRPr="0071525E">
        <w:rPr>
          <w:rFonts w:ascii="仿宋_GB2312" w:eastAsia="仿宋_GB2312" w:hAnsi="仿宋_GB2312" w:cs="仿宋_GB2312" w:hint="eastAsia"/>
          <w:sz w:val="30"/>
          <w:szCs w:val="30"/>
        </w:rPr>
        <w:t>单位（部门）</w:t>
      </w:r>
      <w:r>
        <w:rPr>
          <w:rFonts w:ascii="仿宋_GB2312" w:eastAsia="仿宋_GB2312" w:hAnsi="仿宋_GB2312" w:cs="仿宋_GB2312" w:hint="eastAsia"/>
          <w:sz w:val="30"/>
          <w:szCs w:val="30"/>
        </w:rPr>
        <w:t>2024年国有资本经营预算支出情况表为空表”。</w:t>
      </w:r>
    </w:p>
    <w:p w14:paraId="23F2DB20" w14:textId="77777777" w:rsidR="001654D4" w:rsidRPr="0071525E" w:rsidRDefault="001654D4">
      <w:pPr>
        <w:spacing w:line="560" w:lineRule="exact"/>
        <w:rPr>
          <w:rFonts w:eastAsia="楷体"/>
          <w:sz w:val="30"/>
          <w:szCs w:val="30"/>
        </w:rPr>
      </w:pPr>
    </w:p>
    <w:p w14:paraId="36CD2B53" w14:textId="77777777" w:rsidR="001654D4" w:rsidRDefault="00000000">
      <w:pPr>
        <w:spacing w:line="56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eastAsia="楷体" w:hint="eastAsia"/>
          <w:sz w:val="30"/>
          <w:szCs w:val="30"/>
        </w:rPr>
        <w:t>注：以上预算公开表均作为附表，附于预算公开说明文档后。</w:t>
      </w:r>
    </w:p>
    <w:sectPr w:rsidR="001654D4">
      <w:pgSz w:w="11907" w:h="16840"/>
      <w:pgMar w:top="2098" w:right="1474" w:bottom="1304" w:left="1588" w:header="765" w:footer="765" w:gutter="0"/>
      <w:pgNumType w:fmt="numberInDash"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8F1FC" w14:textId="77777777" w:rsidR="000A5629" w:rsidRDefault="000A5629">
      <w:pPr>
        <w:spacing w:line="240" w:lineRule="auto"/>
      </w:pPr>
      <w:r>
        <w:separator/>
      </w:r>
    </w:p>
  </w:endnote>
  <w:endnote w:type="continuationSeparator" w:id="0">
    <w:p w14:paraId="0E633EA6" w14:textId="77777777" w:rsidR="000A5629" w:rsidRDefault="000A56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E34CA" w14:textId="77777777" w:rsidR="001654D4" w:rsidRDefault="00000000">
    <w:pPr>
      <w:pStyle w:val="a6"/>
      <w:framePr w:wrap="around" w:vAnchor="text" w:hAnchor="margin" w:xAlign="outside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fldChar w:fldCharType="end"/>
    </w:r>
  </w:p>
  <w:p w14:paraId="010BDB10" w14:textId="77777777" w:rsidR="001654D4" w:rsidRDefault="001654D4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743C" w14:textId="77777777" w:rsidR="001654D4" w:rsidRDefault="001654D4">
    <w:pPr>
      <w:pStyle w:val="a6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3BDAA" w14:textId="77777777" w:rsidR="001654D4" w:rsidRDefault="0000000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-</w:t>
    </w:r>
    <w:r>
      <w:t xml:space="preserve"> 5 -</w:t>
    </w:r>
    <w:r>
      <w:fldChar w:fldCharType="end"/>
    </w:r>
  </w:p>
  <w:p w14:paraId="23900032" w14:textId="77777777" w:rsidR="001654D4" w:rsidRDefault="001654D4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119CA" w14:textId="77777777" w:rsidR="000A5629" w:rsidRDefault="000A5629">
      <w:pPr>
        <w:spacing w:line="240" w:lineRule="auto"/>
      </w:pPr>
      <w:r>
        <w:separator/>
      </w:r>
    </w:p>
  </w:footnote>
  <w:footnote w:type="continuationSeparator" w:id="0">
    <w:p w14:paraId="04D63916" w14:textId="77777777" w:rsidR="000A5629" w:rsidRDefault="000A56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68CA3" w14:textId="77777777" w:rsidR="001654D4" w:rsidRDefault="001654D4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A1YjE1OTI0ZjFiOGFhMWM4MWNjMzdkNjI3N2RmY2MifQ=="/>
  </w:docVars>
  <w:rsids>
    <w:rsidRoot w:val="00937D77"/>
    <w:rsid w:val="DEFFAB64"/>
    <w:rsid w:val="F51C3534"/>
    <w:rsid w:val="0001204D"/>
    <w:rsid w:val="00014B7E"/>
    <w:rsid w:val="00020DAE"/>
    <w:rsid w:val="00025DCF"/>
    <w:rsid w:val="00026B49"/>
    <w:rsid w:val="000279BC"/>
    <w:rsid w:val="00035889"/>
    <w:rsid w:val="0003736F"/>
    <w:rsid w:val="00040A70"/>
    <w:rsid w:val="000546FB"/>
    <w:rsid w:val="00055156"/>
    <w:rsid w:val="000561F0"/>
    <w:rsid w:val="00066DA5"/>
    <w:rsid w:val="00081133"/>
    <w:rsid w:val="00082771"/>
    <w:rsid w:val="00093F1A"/>
    <w:rsid w:val="00097C4D"/>
    <w:rsid w:val="000A4C45"/>
    <w:rsid w:val="000A5629"/>
    <w:rsid w:val="000A6A5A"/>
    <w:rsid w:val="000B1B04"/>
    <w:rsid w:val="000B5758"/>
    <w:rsid w:val="000C211F"/>
    <w:rsid w:val="000C3FFB"/>
    <w:rsid w:val="000C5349"/>
    <w:rsid w:val="000C704F"/>
    <w:rsid w:val="000D1BEF"/>
    <w:rsid w:val="000E221E"/>
    <w:rsid w:val="000E5A14"/>
    <w:rsid w:val="000F2DDD"/>
    <w:rsid w:val="00103D12"/>
    <w:rsid w:val="001044EF"/>
    <w:rsid w:val="00107793"/>
    <w:rsid w:val="00107F74"/>
    <w:rsid w:val="00141FB3"/>
    <w:rsid w:val="00143640"/>
    <w:rsid w:val="00146622"/>
    <w:rsid w:val="00151DB8"/>
    <w:rsid w:val="00151E56"/>
    <w:rsid w:val="00154D50"/>
    <w:rsid w:val="001574DB"/>
    <w:rsid w:val="001616F8"/>
    <w:rsid w:val="001639E6"/>
    <w:rsid w:val="0016548E"/>
    <w:rsid w:val="001654D4"/>
    <w:rsid w:val="00167781"/>
    <w:rsid w:val="0017420B"/>
    <w:rsid w:val="001743A6"/>
    <w:rsid w:val="0019552B"/>
    <w:rsid w:val="001A1316"/>
    <w:rsid w:val="001A58F7"/>
    <w:rsid w:val="001B47FB"/>
    <w:rsid w:val="001C525C"/>
    <w:rsid w:val="001E4814"/>
    <w:rsid w:val="001F43D8"/>
    <w:rsid w:val="001F69BB"/>
    <w:rsid w:val="0020344E"/>
    <w:rsid w:val="00217977"/>
    <w:rsid w:val="00222775"/>
    <w:rsid w:val="00223D56"/>
    <w:rsid w:val="00225E9E"/>
    <w:rsid w:val="002319C9"/>
    <w:rsid w:val="00235DDA"/>
    <w:rsid w:val="002456BF"/>
    <w:rsid w:val="00252DD7"/>
    <w:rsid w:val="002568D5"/>
    <w:rsid w:val="0026664B"/>
    <w:rsid w:val="00290082"/>
    <w:rsid w:val="00290EAC"/>
    <w:rsid w:val="00293ACA"/>
    <w:rsid w:val="002A1782"/>
    <w:rsid w:val="002A23DC"/>
    <w:rsid w:val="002A3DBF"/>
    <w:rsid w:val="002D67AE"/>
    <w:rsid w:val="002D715E"/>
    <w:rsid w:val="002E3C02"/>
    <w:rsid w:val="002F0601"/>
    <w:rsid w:val="002F0F40"/>
    <w:rsid w:val="002F0F49"/>
    <w:rsid w:val="00304097"/>
    <w:rsid w:val="003147A8"/>
    <w:rsid w:val="0032641E"/>
    <w:rsid w:val="003407F4"/>
    <w:rsid w:val="00343F3E"/>
    <w:rsid w:val="0035053A"/>
    <w:rsid w:val="0035182A"/>
    <w:rsid w:val="003609DB"/>
    <w:rsid w:val="00361453"/>
    <w:rsid w:val="00364050"/>
    <w:rsid w:val="00364294"/>
    <w:rsid w:val="003734E1"/>
    <w:rsid w:val="00381526"/>
    <w:rsid w:val="00386D08"/>
    <w:rsid w:val="00391275"/>
    <w:rsid w:val="003929CE"/>
    <w:rsid w:val="003A5370"/>
    <w:rsid w:val="003A7D0E"/>
    <w:rsid w:val="003B24BB"/>
    <w:rsid w:val="003B3A66"/>
    <w:rsid w:val="003C1B4D"/>
    <w:rsid w:val="003C2CCF"/>
    <w:rsid w:val="003D48A4"/>
    <w:rsid w:val="003D647A"/>
    <w:rsid w:val="003E3EA7"/>
    <w:rsid w:val="003F4CDB"/>
    <w:rsid w:val="00404E18"/>
    <w:rsid w:val="00406A09"/>
    <w:rsid w:val="004139C1"/>
    <w:rsid w:val="004178F1"/>
    <w:rsid w:val="00421C5C"/>
    <w:rsid w:val="00424A5A"/>
    <w:rsid w:val="00452C1F"/>
    <w:rsid w:val="004645C1"/>
    <w:rsid w:val="004654FD"/>
    <w:rsid w:val="004660E2"/>
    <w:rsid w:val="0046727B"/>
    <w:rsid w:val="0047004A"/>
    <w:rsid w:val="00472621"/>
    <w:rsid w:val="00474C09"/>
    <w:rsid w:val="0048352E"/>
    <w:rsid w:val="004A5DF5"/>
    <w:rsid w:val="004A6EE3"/>
    <w:rsid w:val="004B0888"/>
    <w:rsid w:val="004C0EED"/>
    <w:rsid w:val="004C1F92"/>
    <w:rsid w:val="004D2A21"/>
    <w:rsid w:val="004E5901"/>
    <w:rsid w:val="004E7F96"/>
    <w:rsid w:val="004F1D8F"/>
    <w:rsid w:val="004F304B"/>
    <w:rsid w:val="00507FC2"/>
    <w:rsid w:val="00513E0C"/>
    <w:rsid w:val="00531F24"/>
    <w:rsid w:val="00534FC8"/>
    <w:rsid w:val="005442FD"/>
    <w:rsid w:val="00547CCA"/>
    <w:rsid w:val="0055334A"/>
    <w:rsid w:val="0056218D"/>
    <w:rsid w:val="00563DE0"/>
    <w:rsid w:val="00566B36"/>
    <w:rsid w:val="005717FD"/>
    <w:rsid w:val="00577762"/>
    <w:rsid w:val="00585D27"/>
    <w:rsid w:val="0058731A"/>
    <w:rsid w:val="00587691"/>
    <w:rsid w:val="0059010F"/>
    <w:rsid w:val="0059248B"/>
    <w:rsid w:val="005B0F7B"/>
    <w:rsid w:val="005B3956"/>
    <w:rsid w:val="005B5E4D"/>
    <w:rsid w:val="005C0A1F"/>
    <w:rsid w:val="005C3C59"/>
    <w:rsid w:val="005D0C85"/>
    <w:rsid w:val="005D5F3F"/>
    <w:rsid w:val="005E595A"/>
    <w:rsid w:val="005E5D2D"/>
    <w:rsid w:val="005E642E"/>
    <w:rsid w:val="005F3D28"/>
    <w:rsid w:val="005F52AE"/>
    <w:rsid w:val="005F6E16"/>
    <w:rsid w:val="00602A30"/>
    <w:rsid w:val="006054BF"/>
    <w:rsid w:val="00617301"/>
    <w:rsid w:val="00646289"/>
    <w:rsid w:val="00646C58"/>
    <w:rsid w:val="0065320E"/>
    <w:rsid w:val="00664752"/>
    <w:rsid w:val="00673ABE"/>
    <w:rsid w:val="006777CE"/>
    <w:rsid w:val="006934E1"/>
    <w:rsid w:val="00694200"/>
    <w:rsid w:val="0069616E"/>
    <w:rsid w:val="006A0604"/>
    <w:rsid w:val="006A7042"/>
    <w:rsid w:val="006A7123"/>
    <w:rsid w:val="006B0F4B"/>
    <w:rsid w:val="006D456D"/>
    <w:rsid w:val="006D7313"/>
    <w:rsid w:val="006E5C14"/>
    <w:rsid w:val="006F408B"/>
    <w:rsid w:val="00703777"/>
    <w:rsid w:val="0071525E"/>
    <w:rsid w:val="00716804"/>
    <w:rsid w:val="007206B0"/>
    <w:rsid w:val="00737A20"/>
    <w:rsid w:val="0074381E"/>
    <w:rsid w:val="00754417"/>
    <w:rsid w:val="00795DC2"/>
    <w:rsid w:val="007B750A"/>
    <w:rsid w:val="007C0CD1"/>
    <w:rsid w:val="007C220B"/>
    <w:rsid w:val="007C257B"/>
    <w:rsid w:val="007C27C2"/>
    <w:rsid w:val="007C4FF4"/>
    <w:rsid w:val="007E0D5B"/>
    <w:rsid w:val="007E2276"/>
    <w:rsid w:val="007F218B"/>
    <w:rsid w:val="00810D0C"/>
    <w:rsid w:val="00824025"/>
    <w:rsid w:val="008277F5"/>
    <w:rsid w:val="0083475B"/>
    <w:rsid w:val="008370F2"/>
    <w:rsid w:val="00841058"/>
    <w:rsid w:val="00844953"/>
    <w:rsid w:val="00846C2E"/>
    <w:rsid w:val="00847B3C"/>
    <w:rsid w:val="00851ECC"/>
    <w:rsid w:val="00861D45"/>
    <w:rsid w:val="00866211"/>
    <w:rsid w:val="00890F33"/>
    <w:rsid w:val="008A2192"/>
    <w:rsid w:val="008A584F"/>
    <w:rsid w:val="008B0BE1"/>
    <w:rsid w:val="008C6A37"/>
    <w:rsid w:val="008D0B65"/>
    <w:rsid w:val="008D7A7F"/>
    <w:rsid w:val="008E4B67"/>
    <w:rsid w:val="008F0A65"/>
    <w:rsid w:val="008F7F2F"/>
    <w:rsid w:val="0090543A"/>
    <w:rsid w:val="00912DED"/>
    <w:rsid w:val="009224E2"/>
    <w:rsid w:val="00922C71"/>
    <w:rsid w:val="00931ADF"/>
    <w:rsid w:val="009339F5"/>
    <w:rsid w:val="00933DD8"/>
    <w:rsid w:val="00934F3E"/>
    <w:rsid w:val="00937D77"/>
    <w:rsid w:val="00946BC0"/>
    <w:rsid w:val="00962587"/>
    <w:rsid w:val="009822BE"/>
    <w:rsid w:val="00990C9A"/>
    <w:rsid w:val="009970B7"/>
    <w:rsid w:val="009A08A7"/>
    <w:rsid w:val="009A3307"/>
    <w:rsid w:val="009A41AC"/>
    <w:rsid w:val="009A45FD"/>
    <w:rsid w:val="009A47C1"/>
    <w:rsid w:val="009B0D59"/>
    <w:rsid w:val="009B0FCC"/>
    <w:rsid w:val="009C3FA3"/>
    <w:rsid w:val="009C4227"/>
    <w:rsid w:val="009C5EC4"/>
    <w:rsid w:val="009D1FD1"/>
    <w:rsid w:val="009D2134"/>
    <w:rsid w:val="009E0550"/>
    <w:rsid w:val="009E6A2C"/>
    <w:rsid w:val="009F0927"/>
    <w:rsid w:val="00A01A53"/>
    <w:rsid w:val="00A020B8"/>
    <w:rsid w:val="00A02970"/>
    <w:rsid w:val="00A1342C"/>
    <w:rsid w:val="00A15BB3"/>
    <w:rsid w:val="00A169EE"/>
    <w:rsid w:val="00A25266"/>
    <w:rsid w:val="00A325D0"/>
    <w:rsid w:val="00A37FB3"/>
    <w:rsid w:val="00A410A3"/>
    <w:rsid w:val="00A43941"/>
    <w:rsid w:val="00A47777"/>
    <w:rsid w:val="00A50357"/>
    <w:rsid w:val="00A52A4D"/>
    <w:rsid w:val="00A54C43"/>
    <w:rsid w:val="00A54C55"/>
    <w:rsid w:val="00A62D36"/>
    <w:rsid w:val="00A64852"/>
    <w:rsid w:val="00A74096"/>
    <w:rsid w:val="00A8081F"/>
    <w:rsid w:val="00A8708A"/>
    <w:rsid w:val="00A918A4"/>
    <w:rsid w:val="00A91C28"/>
    <w:rsid w:val="00A96D04"/>
    <w:rsid w:val="00AB093E"/>
    <w:rsid w:val="00AB791A"/>
    <w:rsid w:val="00AC0500"/>
    <w:rsid w:val="00AC3444"/>
    <w:rsid w:val="00AC4DF4"/>
    <w:rsid w:val="00AD51D9"/>
    <w:rsid w:val="00AD6740"/>
    <w:rsid w:val="00AD6772"/>
    <w:rsid w:val="00AE14F7"/>
    <w:rsid w:val="00AE3DA6"/>
    <w:rsid w:val="00AF0A58"/>
    <w:rsid w:val="00AF121D"/>
    <w:rsid w:val="00AF38CA"/>
    <w:rsid w:val="00B03433"/>
    <w:rsid w:val="00B100CB"/>
    <w:rsid w:val="00B1463F"/>
    <w:rsid w:val="00B154E2"/>
    <w:rsid w:val="00B25010"/>
    <w:rsid w:val="00B370F4"/>
    <w:rsid w:val="00B4348E"/>
    <w:rsid w:val="00B45D35"/>
    <w:rsid w:val="00B47C04"/>
    <w:rsid w:val="00B53EC1"/>
    <w:rsid w:val="00B66FA2"/>
    <w:rsid w:val="00B757C2"/>
    <w:rsid w:val="00B90553"/>
    <w:rsid w:val="00B91BBF"/>
    <w:rsid w:val="00B93818"/>
    <w:rsid w:val="00BA2588"/>
    <w:rsid w:val="00BA3C6F"/>
    <w:rsid w:val="00BA407A"/>
    <w:rsid w:val="00BB359F"/>
    <w:rsid w:val="00BB423E"/>
    <w:rsid w:val="00BC0DF6"/>
    <w:rsid w:val="00BC3841"/>
    <w:rsid w:val="00BC5E5F"/>
    <w:rsid w:val="00BC76FF"/>
    <w:rsid w:val="00BF3615"/>
    <w:rsid w:val="00BF54DA"/>
    <w:rsid w:val="00BF7933"/>
    <w:rsid w:val="00C1455B"/>
    <w:rsid w:val="00C148BB"/>
    <w:rsid w:val="00C149C4"/>
    <w:rsid w:val="00C17C17"/>
    <w:rsid w:val="00C24562"/>
    <w:rsid w:val="00C378B1"/>
    <w:rsid w:val="00C435D4"/>
    <w:rsid w:val="00C50520"/>
    <w:rsid w:val="00C63085"/>
    <w:rsid w:val="00C64EC0"/>
    <w:rsid w:val="00C70269"/>
    <w:rsid w:val="00C73CFA"/>
    <w:rsid w:val="00C77359"/>
    <w:rsid w:val="00C8411D"/>
    <w:rsid w:val="00C84F06"/>
    <w:rsid w:val="00C96C5A"/>
    <w:rsid w:val="00CA1B19"/>
    <w:rsid w:val="00CA68E2"/>
    <w:rsid w:val="00CB0036"/>
    <w:rsid w:val="00CB119F"/>
    <w:rsid w:val="00CC066C"/>
    <w:rsid w:val="00CE05B1"/>
    <w:rsid w:val="00CE5A0A"/>
    <w:rsid w:val="00CE6EAE"/>
    <w:rsid w:val="00CE7964"/>
    <w:rsid w:val="00CE7AC9"/>
    <w:rsid w:val="00CE7B3E"/>
    <w:rsid w:val="00CF3C5E"/>
    <w:rsid w:val="00D055B0"/>
    <w:rsid w:val="00D07F2D"/>
    <w:rsid w:val="00D13688"/>
    <w:rsid w:val="00D14C1F"/>
    <w:rsid w:val="00D15FA8"/>
    <w:rsid w:val="00D23D4D"/>
    <w:rsid w:val="00D27938"/>
    <w:rsid w:val="00D27B83"/>
    <w:rsid w:val="00D51CC5"/>
    <w:rsid w:val="00D55851"/>
    <w:rsid w:val="00D574FF"/>
    <w:rsid w:val="00D608C7"/>
    <w:rsid w:val="00D8056F"/>
    <w:rsid w:val="00D877BB"/>
    <w:rsid w:val="00D91D08"/>
    <w:rsid w:val="00D92B61"/>
    <w:rsid w:val="00DB28E7"/>
    <w:rsid w:val="00DB3194"/>
    <w:rsid w:val="00DC08C9"/>
    <w:rsid w:val="00DD6E45"/>
    <w:rsid w:val="00DE477D"/>
    <w:rsid w:val="00DE5D74"/>
    <w:rsid w:val="00DE7CDF"/>
    <w:rsid w:val="00DF0B81"/>
    <w:rsid w:val="00DF2103"/>
    <w:rsid w:val="00DF4EF1"/>
    <w:rsid w:val="00DF6570"/>
    <w:rsid w:val="00E01833"/>
    <w:rsid w:val="00E27103"/>
    <w:rsid w:val="00E37F65"/>
    <w:rsid w:val="00E51564"/>
    <w:rsid w:val="00E62551"/>
    <w:rsid w:val="00E65451"/>
    <w:rsid w:val="00E65BBC"/>
    <w:rsid w:val="00E74166"/>
    <w:rsid w:val="00E75826"/>
    <w:rsid w:val="00E804B9"/>
    <w:rsid w:val="00E8177A"/>
    <w:rsid w:val="00E839D5"/>
    <w:rsid w:val="00E872DD"/>
    <w:rsid w:val="00E90B38"/>
    <w:rsid w:val="00E90C89"/>
    <w:rsid w:val="00E95C79"/>
    <w:rsid w:val="00EA4975"/>
    <w:rsid w:val="00EA6A5C"/>
    <w:rsid w:val="00EB06BE"/>
    <w:rsid w:val="00EB6AAF"/>
    <w:rsid w:val="00EE59CA"/>
    <w:rsid w:val="00F11449"/>
    <w:rsid w:val="00F211C0"/>
    <w:rsid w:val="00F224AE"/>
    <w:rsid w:val="00F5220F"/>
    <w:rsid w:val="00F54E60"/>
    <w:rsid w:val="00F5688C"/>
    <w:rsid w:val="00F619E7"/>
    <w:rsid w:val="00F67141"/>
    <w:rsid w:val="00F720C0"/>
    <w:rsid w:val="00F729CE"/>
    <w:rsid w:val="00F81314"/>
    <w:rsid w:val="00F86B2D"/>
    <w:rsid w:val="00F86C27"/>
    <w:rsid w:val="00F86DF0"/>
    <w:rsid w:val="00F943D8"/>
    <w:rsid w:val="00FB4035"/>
    <w:rsid w:val="00FC57FA"/>
    <w:rsid w:val="00FE3D89"/>
    <w:rsid w:val="00FE7BA7"/>
    <w:rsid w:val="00FF1C3D"/>
    <w:rsid w:val="04A62A1C"/>
    <w:rsid w:val="04C11604"/>
    <w:rsid w:val="06163BD1"/>
    <w:rsid w:val="07C35B28"/>
    <w:rsid w:val="08311465"/>
    <w:rsid w:val="0C6D3E1F"/>
    <w:rsid w:val="0E0A595C"/>
    <w:rsid w:val="0E3F0579"/>
    <w:rsid w:val="0F182768"/>
    <w:rsid w:val="10AA73F0"/>
    <w:rsid w:val="116B3023"/>
    <w:rsid w:val="1204617D"/>
    <w:rsid w:val="18D47700"/>
    <w:rsid w:val="1C4240E5"/>
    <w:rsid w:val="1C7E45DE"/>
    <w:rsid w:val="1CBD04AB"/>
    <w:rsid w:val="1D4053A6"/>
    <w:rsid w:val="1D681DEC"/>
    <w:rsid w:val="215C4736"/>
    <w:rsid w:val="21697719"/>
    <w:rsid w:val="216E6D19"/>
    <w:rsid w:val="21843C8D"/>
    <w:rsid w:val="2186530F"/>
    <w:rsid w:val="2250591D"/>
    <w:rsid w:val="22D622C7"/>
    <w:rsid w:val="24092228"/>
    <w:rsid w:val="2426102C"/>
    <w:rsid w:val="248C5333"/>
    <w:rsid w:val="256035B5"/>
    <w:rsid w:val="25EE3CB6"/>
    <w:rsid w:val="268758BC"/>
    <w:rsid w:val="27514906"/>
    <w:rsid w:val="28602FA0"/>
    <w:rsid w:val="291D29FD"/>
    <w:rsid w:val="2A5A5DE2"/>
    <w:rsid w:val="2C0025FA"/>
    <w:rsid w:val="2D67693D"/>
    <w:rsid w:val="2DBB0A37"/>
    <w:rsid w:val="2E554CE2"/>
    <w:rsid w:val="2F7962C5"/>
    <w:rsid w:val="31C14142"/>
    <w:rsid w:val="354C2609"/>
    <w:rsid w:val="35551771"/>
    <w:rsid w:val="3557428F"/>
    <w:rsid w:val="379D78E5"/>
    <w:rsid w:val="398C07DC"/>
    <w:rsid w:val="3B793DE1"/>
    <w:rsid w:val="3D407E3C"/>
    <w:rsid w:val="3D485717"/>
    <w:rsid w:val="3DA212CB"/>
    <w:rsid w:val="3EF7064B"/>
    <w:rsid w:val="3FCB28EB"/>
    <w:rsid w:val="40324B88"/>
    <w:rsid w:val="40956B0D"/>
    <w:rsid w:val="43935499"/>
    <w:rsid w:val="43BE0DBB"/>
    <w:rsid w:val="4878739D"/>
    <w:rsid w:val="4C3C28EB"/>
    <w:rsid w:val="4CFF2296"/>
    <w:rsid w:val="4E1E02D7"/>
    <w:rsid w:val="4E4B40B1"/>
    <w:rsid w:val="4F204931"/>
    <w:rsid w:val="512E6400"/>
    <w:rsid w:val="523A79B4"/>
    <w:rsid w:val="53B611D5"/>
    <w:rsid w:val="551B5793"/>
    <w:rsid w:val="59EA1BD8"/>
    <w:rsid w:val="5A932272"/>
    <w:rsid w:val="5C4C6B7A"/>
    <w:rsid w:val="5D3A6375"/>
    <w:rsid w:val="5DE51034"/>
    <w:rsid w:val="5DFF4583"/>
    <w:rsid w:val="5F501CDC"/>
    <w:rsid w:val="600F2399"/>
    <w:rsid w:val="625B7B17"/>
    <w:rsid w:val="63A61A51"/>
    <w:rsid w:val="693A5856"/>
    <w:rsid w:val="69C67F6C"/>
    <w:rsid w:val="6A2D5246"/>
    <w:rsid w:val="6A8249E6"/>
    <w:rsid w:val="6B5C045C"/>
    <w:rsid w:val="6D3E2D09"/>
    <w:rsid w:val="6DC70686"/>
    <w:rsid w:val="6DE54739"/>
    <w:rsid w:val="6FB256A1"/>
    <w:rsid w:val="70C42D2B"/>
    <w:rsid w:val="71CF5404"/>
    <w:rsid w:val="721F0751"/>
    <w:rsid w:val="73A82400"/>
    <w:rsid w:val="748F20DD"/>
    <w:rsid w:val="772067E2"/>
    <w:rsid w:val="77EFDD89"/>
    <w:rsid w:val="7ECE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4B7853"/>
  <w15:docId w15:val="{BEA5D551-DC2A-4DCB-BC0F-C3155D014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adjustRightInd w:val="0"/>
      <w:spacing w:line="360" w:lineRule="atLeast"/>
      <w:textAlignment w:val="baseline"/>
    </w:pPr>
    <w:rPr>
      <w:sz w:val="24"/>
      <w:lang w:eastAsia="zh-CN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tLeast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autoRedefine/>
    <w:semiHidden/>
    <w:qFormat/>
    <w:pPr>
      <w:shd w:val="clear" w:color="auto" w:fill="000080"/>
    </w:pPr>
  </w:style>
  <w:style w:type="paragraph" w:styleId="a4">
    <w:name w:val="Balloon Text"/>
    <w:basedOn w:val="a"/>
    <w:link w:val="a5"/>
    <w:autoRedefine/>
    <w:qFormat/>
    <w:pPr>
      <w:spacing w:line="240" w:lineRule="auto"/>
    </w:pPr>
    <w:rPr>
      <w:sz w:val="18"/>
      <w:szCs w:val="18"/>
    </w:rPr>
  </w:style>
  <w:style w:type="paragraph" w:styleId="a6">
    <w:name w:val="footer"/>
    <w:basedOn w:val="a"/>
    <w:link w:val="a7"/>
    <w:autoRedefine/>
    <w:uiPriority w:val="99"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8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TOC2">
    <w:name w:val="toc 2"/>
    <w:basedOn w:val="a"/>
    <w:next w:val="a"/>
    <w:autoRedefine/>
    <w:uiPriority w:val="39"/>
    <w:unhideWhenUsed/>
    <w:qFormat/>
    <w:pPr>
      <w:widowControl/>
      <w:adjustRightInd/>
      <w:spacing w:after="100" w:line="276" w:lineRule="auto"/>
      <w:ind w:left="220"/>
      <w:textAlignment w:val="auto"/>
    </w:pPr>
    <w:rPr>
      <w:rFonts w:ascii="Calibri" w:hAnsi="Calibri"/>
      <w:sz w:val="22"/>
      <w:szCs w:val="22"/>
    </w:rPr>
  </w:style>
  <w:style w:type="character" w:styleId="a9">
    <w:name w:val="page number"/>
    <w:autoRedefine/>
    <w:qFormat/>
  </w:style>
  <w:style w:type="character" w:customStyle="1" w:styleId="10">
    <w:name w:val="标题 1 字符"/>
    <w:link w:val="1"/>
    <w:autoRedefine/>
    <w:uiPriority w:val="9"/>
    <w:qFormat/>
    <w:rPr>
      <w:rFonts w:ascii="Times New Roman" w:hAnsi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autoRedefine/>
    <w:uiPriority w:val="9"/>
    <w:qFormat/>
    <w:rPr>
      <w:rFonts w:ascii="Cambria" w:hAnsi="Cambria"/>
      <w:b/>
      <w:bCs/>
      <w:sz w:val="32"/>
      <w:szCs w:val="32"/>
    </w:rPr>
  </w:style>
  <w:style w:type="character" w:customStyle="1" w:styleId="a5">
    <w:name w:val="批注框文本 字符"/>
    <w:link w:val="a4"/>
    <w:autoRedefine/>
    <w:qFormat/>
    <w:rPr>
      <w:sz w:val="18"/>
      <w:szCs w:val="18"/>
    </w:rPr>
  </w:style>
  <w:style w:type="character" w:customStyle="1" w:styleId="a7">
    <w:name w:val="页脚 字符"/>
    <w:link w:val="a6"/>
    <w:autoRedefine/>
    <w:uiPriority w:val="99"/>
    <w:qFormat/>
    <w:rPr>
      <w:sz w:val="18"/>
      <w:szCs w:val="18"/>
    </w:rPr>
  </w:style>
  <w:style w:type="paragraph" w:customStyle="1" w:styleId="CharChar">
    <w:name w:val="Char Char"/>
    <w:basedOn w:val="a3"/>
    <w:autoRedefine/>
    <w:qFormat/>
    <w:pPr>
      <w:adjustRightInd/>
      <w:spacing w:line="240" w:lineRule="auto"/>
      <w:jc w:val="both"/>
      <w:textAlignment w:val="auto"/>
    </w:pPr>
  </w:style>
  <w:style w:type="paragraph" w:styleId="aa">
    <w:name w:val="List Paragraph"/>
    <w:basedOn w:val="a"/>
    <w:autoRedefine/>
    <w:uiPriority w:val="34"/>
    <w:qFormat/>
    <w:pPr>
      <w:adjustRightInd/>
      <w:spacing w:line="240" w:lineRule="auto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14</Pages>
  <Words>780</Words>
  <Characters>4449</Characters>
  <Application>Microsoft Office Word</Application>
  <DocSecurity>0</DocSecurity>
  <Lines>37</Lines>
  <Paragraphs>10</Paragraphs>
  <ScaleCrop>false</ScaleCrop>
  <Company>微软中国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朱春礼</dc:creator>
  <cp:lastModifiedBy>rui liu</cp:lastModifiedBy>
  <cp:revision>9</cp:revision>
  <cp:lastPrinted>2022-01-18T17:13:00Z</cp:lastPrinted>
  <dcterms:created xsi:type="dcterms:W3CDTF">2019-01-31T15:44:00Z</dcterms:created>
  <dcterms:modified xsi:type="dcterms:W3CDTF">2024-03-26T03:05:00Z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4B95CAB44E9D495995FD1933C8C9099D_13</vt:lpwstr>
  </property>
  <property fmtid="{D5CDD505-2E9C-101B-9397-08002B2CF9AE}" pid="3" name="KSOProductBuildVer">
    <vt:lpwstr>2052-12.1.0.16388</vt:lpwstr>
  </property>
</Properties>
</file>